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三条石街道2022年度法治政府建设情况报告</w:t>
      </w:r>
    </w:p>
    <w:p>
      <w:pPr>
        <w:keepNext w:val="0"/>
        <w:keepLines w:val="0"/>
        <w:pageBreakBefore w:val="0"/>
        <w:kinsoku/>
        <w:wordWrap/>
        <w:overflowPunct/>
        <w:topLinePunct w:val="0"/>
        <w:autoSpaceDE/>
        <w:autoSpaceDN/>
        <w:bidi w:val="0"/>
        <w:spacing w:line="588" w:lineRule="exact"/>
        <w:ind w:firstLine="640" w:firstLineChars="200"/>
        <w:jc w:val="left"/>
        <w:textAlignment w:val="auto"/>
        <w:rPr>
          <w:rFonts w:hint="eastAsia" w:ascii="方正仿宋_GB2312" w:hAnsi="方正仿宋_GB2312" w:eastAsia="方正仿宋_GB2312" w:cs="方正仿宋_GB2312"/>
          <w:sz w:val="32"/>
          <w:szCs w:val="32"/>
          <w:highlight w:val="none"/>
          <w:lang w:val="en-US" w:eastAsia="zh-CN"/>
        </w:rPr>
      </w:pPr>
    </w:p>
    <w:p>
      <w:pPr>
        <w:keepNext w:val="0"/>
        <w:keepLines w:val="0"/>
        <w:pageBreakBefore w:val="0"/>
        <w:kinsoku/>
        <w:wordWrap/>
        <w:overflowPunct/>
        <w:topLinePunct w:val="0"/>
        <w:autoSpaceDE/>
        <w:autoSpaceDN/>
        <w:bidi w:val="0"/>
        <w:spacing w:line="588" w:lineRule="exact"/>
        <w:ind w:firstLine="640"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highlight w:val="none"/>
          <w:lang w:val="en-US" w:eastAsia="zh-CN"/>
        </w:rPr>
        <w:t>2022年三条石街道在区委区政府的坚强领导下，以习近平新时代中国特色社会主义思想为指导，深入贯彻习近平法治思想，全面落实《红桥区法治政府建设实施方案》的工作要求</w:t>
      </w: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bCs/>
          <w:sz w:val="32"/>
          <w:szCs w:val="32"/>
          <w:highlight w:val="none"/>
        </w:rPr>
        <w:t>结合</w:t>
      </w:r>
      <w:r>
        <w:rPr>
          <w:rFonts w:hint="eastAsia" w:ascii="方正仿宋_GB2312" w:hAnsi="方正仿宋_GB2312" w:eastAsia="方正仿宋_GB2312" w:cs="方正仿宋_GB2312"/>
          <w:bCs/>
          <w:sz w:val="32"/>
          <w:szCs w:val="32"/>
          <w:highlight w:val="none"/>
          <w:lang w:val="en-US" w:eastAsia="zh-CN"/>
        </w:rPr>
        <w:t>辖区实际</w:t>
      </w:r>
      <w:r>
        <w:rPr>
          <w:rFonts w:hint="eastAsia" w:ascii="方正仿宋_GB2312" w:hAnsi="方正仿宋_GB2312" w:eastAsia="方正仿宋_GB2312" w:cs="方正仿宋_GB2312"/>
          <w:bCs/>
          <w:sz w:val="32"/>
          <w:szCs w:val="32"/>
          <w:highlight w:val="none"/>
        </w:rPr>
        <w:t>，</w:t>
      </w:r>
      <w:r>
        <w:rPr>
          <w:rFonts w:hint="eastAsia" w:ascii="方正仿宋_GB2312" w:hAnsi="方正仿宋_GB2312" w:eastAsia="方正仿宋_GB2312" w:cs="方正仿宋_GB2312"/>
          <w:sz w:val="32"/>
          <w:szCs w:val="32"/>
          <w:highlight w:val="none"/>
        </w:rPr>
        <w:t>将法治思维和法治理念贯彻始终，</w:t>
      </w:r>
      <w:r>
        <w:rPr>
          <w:rFonts w:hint="eastAsia" w:ascii="方正仿宋_GB2312" w:hAnsi="方正仿宋_GB2312" w:eastAsia="方正仿宋_GB2312" w:cs="方正仿宋_GB2312"/>
          <w:sz w:val="32"/>
          <w:szCs w:val="32"/>
          <w:highlight w:val="none"/>
          <w:lang w:val="en-US" w:eastAsia="zh-CN"/>
        </w:rPr>
        <w:t>着力提升依法行政能力和水平，扎实推进法治政府建设各项工作</w:t>
      </w:r>
      <w:r>
        <w:rPr>
          <w:rFonts w:hint="eastAsia" w:ascii="方正仿宋_GB2312" w:hAnsi="方正仿宋_GB2312" w:eastAsia="方正仿宋_GB2312" w:cs="方正仿宋_GB2312"/>
          <w:sz w:val="32"/>
          <w:szCs w:val="32"/>
          <w:highlight w:val="none"/>
          <w:lang w:eastAsia="zh-CN"/>
        </w:rPr>
        <w:t>，为三条石街道高质量发展营造了良好的法治环境。</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一、推进法治政府建设的主要举措和成效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（一）强化法治审查，规范执法工作</w:t>
      </w:r>
    </w:p>
    <w:p>
      <w:pPr>
        <w:pStyle w:val="2"/>
        <w:numPr>
          <w:ilvl w:val="0"/>
          <w:numId w:val="0"/>
        </w:numPr>
        <w:ind w:firstLine="640"/>
        <w:rPr>
          <w:rFonts w:hint="eastAsia" w:ascii="方正仿宋_GB2312" w:hAnsi="方正仿宋_GB2312" w:eastAsia="方正仿宋_GB2312" w:cs="方正仿宋_GB2312"/>
          <w:b w:val="0"/>
          <w:bCs w:val="0"/>
          <w:kern w:val="0"/>
          <w:sz w:val="32"/>
          <w:szCs w:val="32"/>
          <w:highlight w:val="none"/>
          <w:lang w:val="en-US" w:eastAsia="zh-CN" w:bidi="ar"/>
        </w:rPr>
      </w:pPr>
      <w:r>
        <w:rPr>
          <w:rFonts w:hint="eastAsia" w:ascii="方正仿宋_GB2312" w:hAnsi="方正仿宋_GB2312" w:eastAsia="方正仿宋_GB2312" w:cs="方正仿宋_GB2312"/>
          <w:b w:val="0"/>
          <w:bCs w:val="0"/>
          <w:kern w:val="0"/>
          <w:sz w:val="32"/>
          <w:szCs w:val="32"/>
          <w:highlight w:val="none"/>
          <w:lang w:val="en-US" w:eastAsia="zh-CN" w:bidi="ar"/>
        </w:rPr>
        <w:t>一是全面推进政府法律顾问制度，聘请专业法律顾问全民参与街道各项涉法事务，全年共审查各类文书并出具法律意见35份。与此同时，法律顾问全面参与行政执法活动，协助审查行政执法文书，参与行政诉讼等涉法涉诉事务。落实社区法律顾问全覆盖，三条石街道8个社区均完成“一社区一法律顾问”工作落实，为群众提供法律咨询服务68次，参与矛盾纠纷调解55次。</w:t>
      </w:r>
    </w:p>
    <w:p>
      <w:pPr>
        <w:pStyle w:val="2"/>
        <w:numPr>
          <w:ilvl w:val="0"/>
          <w:numId w:val="0"/>
        </w:numPr>
        <w:ind w:firstLine="640"/>
        <w:rPr>
          <w:rFonts w:hint="default" w:ascii="方正仿宋_GB2312" w:hAnsi="方正仿宋_GB2312" w:eastAsia="方正仿宋_GB2312" w:cs="方正仿宋_GB2312"/>
          <w:b w:val="0"/>
          <w:bCs w:val="0"/>
          <w:kern w:val="0"/>
          <w:sz w:val="32"/>
          <w:szCs w:val="32"/>
          <w:highlight w:val="none"/>
          <w:lang w:val="en-US" w:eastAsia="zh-CN" w:bidi="ar"/>
        </w:rPr>
      </w:pPr>
      <w:r>
        <w:rPr>
          <w:rFonts w:hint="eastAsia" w:ascii="方正仿宋_GB2312" w:hAnsi="方正仿宋_GB2312" w:eastAsia="方正仿宋_GB2312" w:cs="方正仿宋_GB2312"/>
          <w:b w:val="0"/>
          <w:bCs w:val="0"/>
          <w:kern w:val="0"/>
          <w:sz w:val="32"/>
          <w:szCs w:val="32"/>
          <w:highlight w:val="none"/>
          <w:lang w:val="en-US" w:eastAsia="zh-CN" w:bidi="ar"/>
        </w:rPr>
        <w:t>二是</w:t>
      </w:r>
      <w:r>
        <w:rPr>
          <w:rFonts w:hint="default" w:ascii="方正仿宋_GB2312" w:hAnsi="方正仿宋_GB2312" w:eastAsia="方正仿宋_GB2312" w:cs="方正仿宋_GB2312"/>
          <w:b w:val="0"/>
          <w:bCs w:val="0"/>
          <w:kern w:val="0"/>
          <w:sz w:val="32"/>
          <w:szCs w:val="32"/>
          <w:highlight w:val="none"/>
          <w:lang w:val="en-US" w:eastAsia="zh-CN" w:bidi="ar"/>
        </w:rPr>
        <w:t>按照建立健全权责统一、权威高效的行政执法体制的目标要求，落实行政执法体制改革，不断完善执法程序。加强法治培训,提升法律素质。组织开展街道执法人员“三项制度”学习，强化街道综合执法队伍管理；根据司法局的培训规划及工作实际进行公共法律知识、专业法律知识、新法律法规等培训，强化执法人员专业知识学习；抓好干部学法用法和考试，深入系统学习习近平法治思想，强化执法人员的法治意识和法治观念。规范执法程序，优化执法过程。执法过程中坚持依法行政、依法办事。认真落实“三项制度”，落实文书制作、设备配置、音像记录、存储归档“四个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（二）落实“谁执法谁普法”普法责任制</w:t>
      </w:r>
    </w:p>
    <w:p>
      <w:pPr>
        <w:keepNext w:val="0"/>
        <w:keepLines w:val="0"/>
        <w:pageBreakBefore w:val="0"/>
        <w:numPr>
          <w:ilvl w:val="0"/>
          <w:numId w:val="0"/>
        </w:numPr>
        <w:kinsoku/>
        <w:wordWrap/>
        <w:overflowPunct/>
        <w:topLinePunct w:val="0"/>
        <w:autoSpaceDE/>
        <w:autoSpaceDN/>
        <w:bidi w:val="0"/>
        <w:spacing w:line="588" w:lineRule="exact"/>
        <w:ind w:firstLine="640" w:firstLineChars="200"/>
        <w:jc w:val="both"/>
        <w:textAlignment w:val="auto"/>
        <w:rPr>
          <w:rFonts w:hint="default"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highlight w:val="none"/>
          <w:lang w:val="en-US" w:eastAsia="zh-CN"/>
        </w:rPr>
        <w:t>一是在辖区内纵深推进法治宣传教育，弘扬社会主义法治精神。通过“互联网+”模式，组织开展“深入学习习近平法治思想，推进全面依法治国”主题宣传2次，“宪法宣传日”主题活动1次。</w:t>
      </w:r>
      <w:r>
        <w:rPr>
          <w:rFonts w:hint="eastAsia" w:ascii="方正仿宋_GB2312" w:hAnsi="方正仿宋_GB2312" w:eastAsia="方正仿宋_GB2312" w:cs="方正仿宋_GB2312"/>
          <w:b w:val="0"/>
          <w:bCs w:val="0"/>
          <w:sz w:val="32"/>
          <w:szCs w:val="32"/>
          <w:highlight w:val="none"/>
          <w:lang w:val="en-US" w:eastAsia="zh-CN"/>
        </w:rPr>
        <w:t>全年录制并发布《三条石街道法律大讲堂“民法典小课堂”》课程视频6次，生动讲解《民法典》中与居民生活息息相关的内容，得到大量居民群众的线上支持</w:t>
      </w:r>
      <w:r>
        <w:rPr>
          <w:rFonts w:hint="eastAsia" w:ascii="方正仿宋_GB2312" w:hAnsi="方正仿宋_GB2312" w:eastAsia="方正仿宋_GB2312" w:cs="方正仿宋_GB2312"/>
          <w:sz w:val="32"/>
          <w:szCs w:val="32"/>
          <w:highlight w:val="none"/>
          <w:lang w:val="en-US" w:eastAsia="zh-CN"/>
        </w:rPr>
        <w:t>，有效的将普法与法治政府建设相结合。</w:t>
      </w:r>
    </w:p>
    <w:p>
      <w:pPr>
        <w:keepNext w:val="0"/>
        <w:keepLines w:val="0"/>
        <w:pageBreakBefore w:val="0"/>
        <w:numPr>
          <w:ilvl w:val="0"/>
          <w:numId w:val="0"/>
        </w:numPr>
        <w:kinsoku/>
        <w:wordWrap/>
        <w:overflowPunct/>
        <w:topLinePunct w:val="0"/>
        <w:autoSpaceDE/>
        <w:autoSpaceDN/>
        <w:bidi w:val="0"/>
        <w:spacing w:line="588" w:lineRule="exact"/>
        <w:ind w:firstLine="640" w:firstLineChars="200"/>
        <w:jc w:val="both"/>
        <w:textAlignment w:val="auto"/>
        <w:rPr>
          <w:rFonts w:hint="eastAsia" w:ascii="方正仿宋_GB2312" w:hAnsi="方正仿宋_GB2312" w:eastAsia="方正仿宋_GB2312" w:cs="方正仿宋_GB2312"/>
          <w:bCs/>
          <w:sz w:val="32"/>
          <w:szCs w:val="32"/>
          <w:lang w:val="en-US" w:eastAsia="zh-CN"/>
        </w:rPr>
      </w:pPr>
      <w:r>
        <w:rPr>
          <w:rFonts w:hint="eastAsia" w:ascii="方正仿宋_GB2312" w:hAnsi="方正仿宋_GB2312" w:eastAsia="方正仿宋_GB2312" w:cs="方正仿宋_GB2312"/>
          <w:b w:val="0"/>
          <w:bCs/>
          <w:sz w:val="32"/>
          <w:szCs w:val="32"/>
          <w:lang w:val="en-US" w:eastAsia="zh-CN"/>
        </w:rPr>
        <w:t>二是全年</w:t>
      </w:r>
      <w:r>
        <w:rPr>
          <w:rFonts w:hint="eastAsia" w:ascii="方正仿宋_GB2312" w:hAnsi="方正仿宋_GB2312" w:eastAsia="方正仿宋_GB2312" w:cs="方正仿宋_GB2312"/>
          <w:bCs/>
          <w:sz w:val="32"/>
          <w:szCs w:val="32"/>
          <w:lang w:val="en-US" w:eastAsia="zh-CN"/>
        </w:rPr>
        <w:t>组织开展《民法典》、《安全生产法》、《劳动法》、《天津市物业管理条例》等有关法律法规的解读讲座、学习培训8次，街道、社区工作人员累计参加300余人次。督促工作人员结合自身工作需要，进行专业领域法律知识学习。组织全体街道领导干部参加国家工作人员学法用法考试，考试参与度、合格率达到100%。推动全街上下自觉做习近平法治思想的坚定信仰者和模范执行者。</w:t>
      </w:r>
    </w:p>
    <w:p>
      <w:pPr>
        <w:keepNext w:val="0"/>
        <w:keepLines w:val="0"/>
        <w:pageBreakBefore w:val="0"/>
        <w:numPr>
          <w:ilvl w:val="0"/>
          <w:numId w:val="0"/>
        </w:numPr>
        <w:kinsoku/>
        <w:wordWrap/>
        <w:overflowPunct/>
        <w:topLinePunct w:val="0"/>
        <w:autoSpaceDE/>
        <w:autoSpaceDN/>
        <w:bidi w:val="0"/>
        <w:adjustRightInd w:val="0"/>
        <w:snapToGrid w:val="0"/>
        <w:spacing w:line="588" w:lineRule="exact"/>
        <w:ind w:firstLine="640" w:firstLineChars="200"/>
        <w:textAlignment w:val="auto"/>
        <w:rPr>
          <w:rFonts w:hint="eastAsia"/>
          <w:lang w:val="en-US" w:eastAsia="zh-CN"/>
        </w:rPr>
      </w:pPr>
      <w:r>
        <w:rPr>
          <w:rFonts w:hint="eastAsia" w:ascii="方正仿宋_GB2312" w:hAnsi="方正仿宋_GB2312" w:eastAsia="方正仿宋_GB2312" w:cs="方正仿宋_GB2312"/>
          <w:b w:val="0"/>
          <w:bCs w:val="0"/>
          <w:sz w:val="32"/>
          <w:szCs w:val="32"/>
          <w:highlight w:val="none"/>
          <w:lang w:eastAsia="zh-CN"/>
        </w:rPr>
        <w:t>三是</w:t>
      </w:r>
      <w:r>
        <w:rPr>
          <w:rFonts w:hint="eastAsia" w:ascii="方正仿宋_GB2312" w:hAnsi="方正仿宋_GB2312" w:eastAsia="方正仿宋_GB2312" w:cs="方正仿宋_GB2312"/>
          <w:b w:val="0"/>
          <w:bCs w:val="0"/>
          <w:sz w:val="32"/>
          <w:szCs w:val="32"/>
          <w:highlight w:val="none"/>
        </w:rPr>
        <w:t>综合利用社区宣传栏、悬挂布标、发放宣传材料等方式宣传法律知识</w:t>
      </w:r>
      <w:r>
        <w:rPr>
          <w:rFonts w:hint="eastAsia" w:ascii="方正仿宋_GB2312" w:hAnsi="方正仿宋_GB2312" w:eastAsia="方正仿宋_GB2312" w:cs="方正仿宋_GB2312"/>
          <w:b w:val="0"/>
          <w:bCs w:val="0"/>
          <w:sz w:val="32"/>
          <w:szCs w:val="32"/>
          <w:highlight w:val="none"/>
          <w:lang w:eastAsia="zh-CN"/>
        </w:rPr>
        <w:t>，</w:t>
      </w:r>
      <w:r>
        <w:rPr>
          <w:rFonts w:hint="eastAsia" w:ascii="方正仿宋_GB2312" w:hAnsi="方正仿宋_GB2312" w:eastAsia="方正仿宋_GB2312" w:cs="方正仿宋_GB2312"/>
          <w:b w:val="0"/>
          <w:bCs w:val="0"/>
          <w:sz w:val="32"/>
          <w:szCs w:val="32"/>
          <w:highlight w:val="none"/>
          <w:lang w:val="en-US" w:eastAsia="zh-CN"/>
        </w:rPr>
        <w:t>全年在辖区重要点位悬挂和张贴宣传标语海报24张，悬挂条幅9条，发放宣传页累计1000余页，发放宣传物品累计500余份。各社区以党群服务中心为普法宣传阵地，</w:t>
      </w:r>
      <w:r>
        <w:rPr>
          <w:rFonts w:hint="eastAsia" w:ascii="方正仿宋_GB2312" w:hAnsi="方正仿宋_GB2312" w:eastAsia="方正仿宋_GB2312" w:cs="方正仿宋_GB2312"/>
          <w:b w:val="0"/>
          <w:bCs w:val="0"/>
          <w:sz w:val="32"/>
          <w:szCs w:val="32"/>
          <w:highlight w:val="none"/>
        </w:rPr>
        <w:t>重点对社区综治主任和各社区普法志愿者进行集中培训，</w:t>
      </w:r>
      <w:r>
        <w:rPr>
          <w:rFonts w:hint="eastAsia" w:ascii="方正仿宋_GB2312" w:hAnsi="方正仿宋_GB2312" w:eastAsia="方正仿宋_GB2312" w:cs="方正仿宋_GB2312"/>
          <w:b w:val="0"/>
          <w:bCs w:val="0"/>
          <w:sz w:val="32"/>
          <w:szCs w:val="32"/>
          <w:highlight w:val="none"/>
          <w:lang w:val="en-US" w:eastAsia="zh-CN"/>
        </w:rPr>
        <w:t>提高化解矛盾纠纷、普法宣传的能力和水平，不断满足新形势下居民</w:t>
      </w:r>
      <w:r>
        <w:rPr>
          <w:rFonts w:hint="eastAsia" w:ascii="方正仿宋_GB2312" w:hAnsi="方正仿宋_GB2312" w:eastAsia="方正仿宋_GB2312" w:cs="方正仿宋_GB2312"/>
          <w:b w:val="0"/>
          <w:bCs w:val="0"/>
          <w:sz w:val="32"/>
          <w:szCs w:val="32"/>
          <w:highlight w:val="none"/>
        </w:rPr>
        <w:t>对多元化、宽领域、家门口的法治化需求</w:t>
      </w:r>
      <w:r>
        <w:rPr>
          <w:rFonts w:hint="eastAsia" w:ascii="方正仿宋_GB2312" w:hAnsi="方正仿宋_GB2312" w:eastAsia="方正仿宋_GB2312" w:cs="方正仿宋_GB2312"/>
          <w:b w:val="0"/>
          <w:bCs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（三）推进法治机关建设，保障依法行政落实</w:t>
      </w:r>
    </w:p>
    <w:p>
      <w:pPr>
        <w:pStyle w:val="6"/>
        <w:keepNext w:val="0"/>
        <w:keepLines w:val="0"/>
        <w:pageBreakBefore w:val="0"/>
        <w:widowControl/>
        <w:numPr>
          <w:ilvl w:val="0"/>
          <w:numId w:val="0"/>
        </w:numPr>
        <w:kinsoku/>
        <w:wordWrap/>
        <w:overflowPunct/>
        <w:topLinePunct w:val="0"/>
        <w:autoSpaceDE/>
        <w:autoSpaceDN/>
        <w:bidi w:val="0"/>
        <w:spacing w:line="600" w:lineRule="exact"/>
        <w:ind w:right="0" w:rightChars="0" w:firstLine="640" w:firstLineChars="200"/>
        <w:textAlignment w:val="auto"/>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kern w:val="0"/>
          <w:sz w:val="32"/>
          <w:szCs w:val="32"/>
          <w:highlight w:val="none"/>
          <w:lang w:val="en-US" w:eastAsia="zh-CN"/>
        </w:rPr>
        <w:t>一是紧抓执法队伍建设，全面落实行政执法人员持证上岗制度，明确法制审核人员，</w:t>
      </w:r>
      <w:r>
        <w:rPr>
          <w:rFonts w:hint="eastAsia" w:ascii="方正仿宋_GB2312" w:hAnsi="方正仿宋_GB2312" w:eastAsia="方正仿宋_GB2312" w:cs="方正仿宋_GB2312"/>
          <w:kern w:val="0"/>
          <w:sz w:val="32"/>
          <w:szCs w:val="32"/>
          <w:highlight w:val="none"/>
          <w:lang w:val="en-US" w:eastAsia="zh-CN"/>
        </w:rPr>
        <w:t>进一步细化街道</w:t>
      </w:r>
      <w:r>
        <w:rPr>
          <w:rFonts w:hint="eastAsia" w:ascii="方正仿宋_GB2312" w:hAnsi="方正仿宋_GB2312" w:eastAsia="方正仿宋_GB2312" w:cs="方正仿宋_GB2312"/>
          <w:kern w:val="0"/>
          <w:sz w:val="32"/>
          <w:szCs w:val="32"/>
          <w:highlight w:val="none"/>
        </w:rPr>
        <w:t>执法辅助人员职责权限和管理办法</w:t>
      </w:r>
      <w:r>
        <w:rPr>
          <w:rFonts w:hint="eastAsia" w:ascii="方正仿宋_GB2312" w:hAnsi="方正仿宋_GB2312" w:eastAsia="方正仿宋_GB2312" w:cs="方正仿宋_GB2312"/>
          <w:kern w:val="0"/>
          <w:sz w:val="32"/>
          <w:szCs w:val="32"/>
          <w:highlight w:val="none"/>
          <w:lang w:eastAsia="zh-CN"/>
        </w:rPr>
        <w:t>，</w:t>
      </w:r>
      <w:r>
        <w:rPr>
          <w:rFonts w:hint="eastAsia" w:ascii="方正仿宋_GB2312" w:hAnsi="方正仿宋_GB2312" w:eastAsia="方正仿宋_GB2312" w:cs="方正仿宋_GB2312"/>
          <w:kern w:val="0"/>
          <w:sz w:val="32"/>
          <w:szCs w:val="32"/>
          <w:highlight w:val="none"/>
        </w:rPr>
        <w:t>优化管理。</w:t>
      </w:r>
      <w:r>
        <w:rPr>
          <w:rFonts w:hint="eastAsia" w:ascii="方正仿宋_GB2312" w:hAnsi="方正仿宋_GB2312" w:eastAsia="方正仿宋_GB2312" w:cs="方正仿宋_GB2312"/>
          <w:b w:val="0"/>
          <w:bCs w:val="0"/>
          <w:sz w:val="32"/>
          <w:szCs w:val="32"/>
          <w:highlight w:val="none"/>
          <w:lang w:val="en-US" w:eastAsia="zh-CN"/>
        </w:rPr>
        <w:t>严格落实行政规范性文件合法性审核规定，</w:t>
      </w:r>
      <w:r>
        <w:rPr>
          <w:rFonts w:hint="eastAsia" w:ascii="方正仿宋_GB2312" w:hAnsi="方正仿宋_GB2312" w:eastAsia="方正仿宋_GB2312" w:cs="方正仿宋_GB2312"/>
          <w:sz w:val="32"/>
          <w:szCs w:val="32"/>
          <w:highlight w:val="none"/>
          <w:lang w:val="en-US" w:eastAsia="zh-CN"/>
        </w:rPr>
        <w:t>落实</w:t>
      </w:r>
      <w:r>
        <w:rPr>
          <w:rFonts w:hint="eastAsia" w:ascii="方正仿宋_GB2312" w:hAnsi="方正仿宋_GB2312" w:eastAsia="方正仿宋_GB2312" w:cs="方正仿宋_GB2312"/>
          <w:sz w:val="32"/>
          <w:szCs w:val="32"/>
          <w:highlight w:val="none"/>
        </w:rPr>
        <w:t>“三重一大”事项集体决策</w:t>
      </w:r>
      <w:r>
        <w:rPr>
          <w:rFonts w:hint="eastAsia" w:ascii="方正仿宋_GB2312" w:hAnsi="方正仿宋_GB2312" w:eastAsia="方正仿宋_GB2312" w:cs="方正仿宋_GB2312"/>
          <w:sz w:val="32"/>
          <w:szCs w:val="32"/>
          <w:highlight w:val="none"/>
          <w:lang w:val="en-US" w:eastAsia="zh-CN"/>
        </w:rPr>
        <w:t>工作</w:t>
      </w: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b w:val="0"/>
          <w:bCs w:val="0"/>
          <w:sz w:val="32"/>
          <w:szCs w:val="32"/>
          <w:highlight w:val="none"/>
          <w:lang w:val="en-US" w:eastAsia="zh-CN"/>
        </w:rPr>
        <w:t>推动司法所负责同志列席街道党工委会议，加强对重大项目、重点工程的法制审查。认真落实法律顾问制度，引入专业法律服务机构，组织开展重大行政决策风险评估，对外签订合同、涉法议题提前征询街道法律顾问意见，不断提高行政决策的科学化、法治化水平。</w:t>
      </w:r>
    </w:p>
    <w:p>
      <w:pPr>
        <w:keepNext w:val="0"/>
        <w:keepLines w:val="0"/>
        <w:pageBreakBefore w:val="0"/>
        <w:kinsoku/>
        <w:wordWrap/>
        <w:overflowPunct/>
        <w:topLinePunct w:val="0"/>
        <w:autoSpaceDE/>
        <w:autoSpaceDN/>
        <w:bidi w:val="0"/>
        <w:spacing w:line="588" w:lineRule="exact"/>
        <w:ind w:firstLine="640" w:firstLineChars="200"/>
        <w:textAlignment w:val="auto"/>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kern w:val="0"/>
          <w:sz w:val="32"/>
          <w:szCs w:val="32"/>
          <w:highlight w:val="none"/>
          <w:lang w:eastAsia="zh-CN"/>
        </w:rPr>
        <w:t>二是</w:t>
      </w:r>
      <w:r>
        <w:rPr>
          <w:rFonts w:hint="eastAsia" w:ascii="方正仿宋_GB2312" w:hAnsi="方正仿宋_GB2312" w:eastAsia="方正仿宋_GB2312" w:cs="方正仿宋_GB2312"/>
          <w:kern w:val="0"/>
          <w:sz w:val="32"/>
          <w:szCs w:val="32"/>
          <w:highlight w:val="none"/>
        </w:rPr>
        <w:t>始终坚持“时效、有效、准确”的政务信息公开原则，要求各责任科室、社区紧紧围绕</w:t>
      </w:r>
      <w:r>
        <w:rPr>
          <w:rFonts w:hint="eastAsia" w:ascii="方正仿宋_GB2312" w:hAnsi="方正仿宋_GB2312" w:eastAsia="方正仿宋_GB2312" w:cs="方正仿宋_GB2312"/>
          <w:kern w:val="0"/>
          <w:sz w:val="32"/>
          <w:szCs w:val="32"/>
          <w:highlight w:val="none"/>
          <w:lang w:eastAsia="zh-CN"/>
        </w:rPr>
        <w:t>上级</w:t>
      </w:r>
      <w:r>
        <w:rPr>
          <w:rFonts w:hint="eastAsia" w:ascii="方正仿宋_GB2312" w:hAnsi="方正仿宋_GB2312" w:eastAsia="方正仿宋_GB2312" w:cs="方正仿宋_GB2312"/>
          <w:kern w:val="0"/>
          <w:sz w:val="32"/>
          <w:szCs w:val="32"/>
          <w:highlight w:val="none"/>
        </w:rPr>
        <w:t>工作部署和相关要求，进一步规范政务公开制度，推进公开报送信息化、公开信息数字化。</w:t>
      </w:r>
      <w:r>
        <w:rPr>
          <w:rFonts w:hint="eastAsia" w:ascii="方正仿宋_GB2312" w:hAnsi="方正仿宋_GB2312" w:eastAsia="方正仿宋_GB2312" w:cs="方正仿宋_GB2312"/>
          <w:sz w:val="32"/>
          <w:szCs w:val="32"/>
          <w:highlight w:val="none"/>
        </w:rPr>
        <w:t>利用大数据背景下多元化的媒体，建立长效机制，利用微博、微信等平台，定时向外界发送信息，保证信息的有效性和及时性，推动政务公开工作的落实。</w:t>
      </w:r>
      <w:r>
        <w:rPr>
          <w:rFonts w:hint="eastAsia" w:ascii="方正仿宋_GB2312" w:hAnsi="方正仿宋_GB2312" w:eastAsia="方正仿宋_GB2312" w:cs="方正仿宋_GB2312"/>
          <w:kern w:val="0"/>
          <w:sz w:val="32"/>
          <w:szCs w:val="32"/>
          <w:highlight w:val="none"/>
          <w:lang w:val="en-US" w:eastAsia="zh-CN"/>
        </w:rPr>
        <w:t>2021年</w:t>
      </w:r>
      <w:r>
        <w:rPr>
          <w:rFonts w:hint="eastAsia" w:ascii="方正仿宋_GB2312" w:hAnsi="方正仿宋_GB2312" w:eastAsia="方正仿宋_GB2312" w:cs="方正仿宋_GB2312"/>
          <w:kern w:val="0"/>
          <w:sz w:val="32"/>
          <w:szCs w:val="32"/>
          <w:highlight w:val="none"/>
        </w:rPr>
        <w:t>，</w:t>
      </w:r>
      <w:r>
        <w:rPr>
          <w:rFonts w:hint="eastAsia" w:ascii="方正仿宋_GB2312" w:hAnsi="方正仿宋_GB2312" w:eastAsia="方正仿宋_GB2312" w:cs="方正仿宋_GB2312"/>
          <w:kern w:val="0"/>
          <w:sz w:val="32"/>
          <w:szCs w:val="32"/>
          <w:highlight w:val="none"/>
          <w:lang w:eastAsia="zh-CN"/>
        </w:rPr>
        <w:t>街道在</w:t>
      </w:r>
      <w:r>
        <w:rPr>
          <w:rFonts w:hint="eastAsia" w:ascii="方正仿宋_GB2312" w:hAnsi="方正仿宋_GB2312" w:eastAsia="方正仿宋_GB2312" w:cs="方正仿宋_GB2312"/>
          <w:kern w:val="0"/>
          <w:sz w:val="32"/>
          <w:szCs w:val="32"/>
          <w:highlight w:val="none"/>
        </w:rPr>
        <w:fldChar w:fldCharType="begin"/>
      </w:r>
      <w:r>
        <w:rPr>
          <w:rFonts w:hint="eastAsia" w:ascii="方正仿宋_GB2312" w:hAnsi="方正仿宋_GB2312" w:eastAsia="方正仿宋_GB2312" w:cs="方正仿宋_GB2312"/>
          <w:kern w:val="0"/>
          <w:sz w:val="32"/>
          <w:szCs w:val="32"/>
          <w:highlight w:val="none"/>
        </w:rPr>
        <w:instrText xml:space="preserve"> HYPERLINK "http://www.tjhq.gov.cn/" \t "/home/kylin/文档\\x/_blank" </w:instrText>
      </w:r>
      <w:r>
        <w:rPr>
          <w:rFonts w:hint="eastAsia" w:ascii="方正仿宋_GB2312" w:hAnsi="方正仿宋_GB2312" w:eastAsia="方正仿宋_GB2312" w:cs="方正仿宋_GB2312"/>
          <w:kern w:val="0"/>
          <w:sz w:val="32"/>
          <w:szCs w:val="32"/>
          <w:highlight w:val="none"/>
        </w:rPr>
        <w:fldChar w:fldCharType="separate"/>
      </w:r>
      <w:r>
        <w:rPr>
          <w:rFonts w:hint="eastAsia" w:ascii="方正仿宋_GB2312" w:hAnsi="方正仿宋_GB2312" w:eastAsia="方正仿宋_GB2312" w:cs="方正仿宋_GB2312"/>
          <w:kern w:val="0"/>
          <w:sz w:val="32"/>
          <w:szCs w:val="32"/>
          <w:highlight w:val="none"/>
        </w:rPr>
        <w:t>红桥政务网-媒体融合平台</w:t>
      </w:r>
      <w:r>
        <w:rPr>
          <w:rFonts w:hint="eastAsia" w:ascii="方正仿宋_GB2312" w:hAnsi="方正仿宋_GB2312" w:eastAsia="方正仿宋_GB2312" w:cs="方正仿宋_GB2312"/>
          <w:kern w:val="0"/>
          <w:sz w:val="32"/>
          <w:szCs w:val="32"/>
          <w:highlight w:val="none"/>
        </w:rPr>
        <w:fldChar w:fldCharType="end"/>
      </w:r>
      <w:r>
        <w:rPr>
          <w:rFonts w:hint="eastAsia" w:ascii="方正仿宋_GB2312" w:hAnsi="方正仿宋_GB2312" w:eastAsia="方正仿宋_GB2312" w:cs="方正仿宋_GB2312"/>
          <w:kern w:val="0"/>
          <w:sz w:val="32"/>
          <w:szCs w:val="32"/>
          <w:highlight w:val="none"/>
        </w:rPr>
        <w:t>主动公开信息</w:t>
      </w:r>
      <w:r>
        <w:rPr>
          <w:rFonts w:hint="eastAsia" w:ascii="方正仿宋_GB2312" w:hAnsi="方正仿宋_GB2312" w:eastAsia="方正仿宋_GB2312" w:cs="方正仿宋_GB2312"/>
          <w:kern w:val="0"/>
          <w:sz w:val="32"/>
          <w:szCs w:val="32"/>
          <w:highlight w:val="none"/>
          <w:lang w:val="en-US" w:eastAsia="zh-CN"/>
        </w:rPr>
        <w:t>16</w:t>
      </w:r>
      <w:r>
        <w:rPr>
          <w:rFonts w:hint="eastAsia" w:ascii="方正仿宋_GB2312" w:hAnsi="方正仿宋_GB2312" w:eastAsia="方正仿宋_GB2312" w:cs="方正仿宋_GB2312"/>
          <w:kern w:val="0"/>
          <w:sz w:val="32"/>
          <w:szCs w:val="32"/>
          <w:highlight w:val="none"/>
        </w:rPr>
        <w:t>条</w:t>
      </w:r>
      <w:r>
        <w:rPr>
          <w:rFonts w:hint="eastAsia" w:ascii="方正仿宋_GB2312" w:hAnsi="方正仿宋_GB2312" w:eastAsia="方正仿宋_GB2312" w:cs="方正仿宋_GB2312"/>
          <w:kern w:val="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黑体"/>
          <w:sz w:val="32"/>
          <w:szCs w:val="32"/>
          <w:lang w:val="en-US" w:eastAsia="zh-CN"/>
        </w:rPr>
      </w:pPr>
      <w:r>
        <w:rPr>
          <w:rFonts w:hint="eastAsia" w:ascii="方正仿宋_GB2312" w:hAnsi="方正仿宋_GB2312" w:eastAsia="方正仿宋_GB2312" w:cs="方正仿宋_GB2312"/>
          <w:kern w:val="0"/>
          <w:sz w:val="32"/>
          <w:szCs w:val="32"/>
          <w:highlight w:val="none"/>
          <w:lang w:eastAsia="zh-CN"/>
        </w:rPr>
        <w:t>三是</w:t>
      </w:r>
      <w:r>
        <w:rPr>
          <w:rFonts w:hint="eastAsia" w:ascii="方正仿宋_GB2312" w:hAnsi="方正仿宋_GB2312" w:eastAsia="方正仿宋_GB2312" w:cs="方正仿宋_GB2312"/>
          <w:kern w:val="0"/>
          <w:sz w:val="32"/>
          <w:szCs w:val="32"/>
          <w:highlight w:val="none"/>
        </w:rPr>
        <w:t>由专人负责行政许可和行政处罚信息“双公示”的信息报送和公开</w:t>
      </w:r>
      <w:r>
        <w:rPr>
          <w:rFonts w:hint="eastAsia" w:ascii="方正仿宋_GB2312" w:hAnsi="方正仿宋_GB2312" w:eastAsia="方正仿宋_GB2312" w:cs="方正仿宋_GB2312"/>
          <w:kern w:val="0"/>
          <w:sz w:val="32"/>
          <w:szCs w:val="32"/>
          <w:highlight w:val="none"/>
          <w:lang w:eastAsia="zh-CN"/>
        </w:rPr>
        <w:t>，</w:t>
      </w:r>
      <w:r>
        <w:rPr>
          <w:rFonts w:hint="eastAsia" w:ascii="方正仿宋_GB2312" w:hAnsi="方正仿宋_GB2312" w:eastAsia="方正仿宋_GB2312" w:cs="方正仿宋_GB2312"/>
          <w:kern w:val="0"/>
          <w:sz w:val="32"/>
          <w:szCs w:val="32"/>
          <w:highlight w:val="none"/>
        </w:rPr>
        <w:t>全面推进行政执法信息化建设。充分运用天津市行政执法监督平台，及时、准确录入执法数据，公示行政执法信息，</w:t>
      </w:r>
      <w:r>
        <w:rPr>
          <w:rFonts w:hint="eastAsia" w:ascii="方正仿宋_GB2312" w:hAnsi="方正仿宋_GB2312" w:eastAsia="方正仿宋_GB2312" w:cs="方正仿宋_GB2312"/>
          <w:kern w:val="0"/>
          <w:sz w:val="32"/>
          <w:szCs w:val="32"/>
          <w:highlight w:val="none"/>
          <w:lang w:val="en-US" w:eastAsia="zh-CN"/>
        </w:rPr>
        <w:t>推进</w:t>
      </w:r>
      <w:r>
        <w:rPr>
          <w:rFonts w:hint="eastAsia" w:ascii="方正仿宋_GB2312" w:hAnsi="方正仿宋_GB2312" w:eastAsia="方正仿宋_GB2312" w:cs="方正仿宋_GB2312"/>
          <w:kern w:val="0"/>
          <w:sz w:val="32"/>
          <w:szCs w:val="32"/>
          <w:highlight w:val="none"/>
        </w:rPr>
        <w:t>执法信息互联互通共享，开展网上办案和监管</w:t>
      </w:r>
      <w:r>
        <w:rPr>
          <w:rFonts w:hint="eastAsia" w:ascii="方正仿宋_GB2312" w:hAnsi="方正仿宋_GB2312" w:eastAsia="方正仿宋_GB2312" w:cs="方正仿宋_GB2312"/>
          <w:kern w:val="0"/>
          <w:sz w:val="32"/>
          <w:szCs w:val="32"/>
          <w:highlight w:val="none"/>
          <w:lang w:eastAsia="zh-CN"/>
        </w:rPr>
        <w:t>，</w:t>
      </w:r>
      <w:r>
        <w:rPr>
          <w:rFonts w:hint="eastAsia" w:ascii="方正仿宋_GB2312" w:hAnsi="方正仿宋_GB2312" w:eastAsia="方正仿宋_GB2312" w:cs="方正仿宋_GB2312"/>
          <w:kern w:val="0"/>
          <w:sz w:val="32"/>
          <w:szCs w:val="32"/>
          <w:highlight w:val="none"/>
          <w:lang w:val="en-US" w:eastAsia="zh-CN"/>
        </w:rPr>
        <w:t>促进</w:t>
      </w:r>
      <w:r>
        <w:rPr>
          <w:rFonts w:hint="eastAsia" w:ascii="方正仿宋_GB2312" w:hAnsi="方正仿宋_GB2312" w:eastAsia="方正仿宋_GB2312" w:cs="方正仿宋_GB2312"/>
          <w:kern w:val="0"/>
          <w:sz w:val="32"/>
          <w:szCs w:val="32"/>
          <w:highlight w:val="none"/>
        </w:rPr>
        <w:t>执法</w:t>
      </w:r>
      <w:r>
        <w:rPr>
          <w:rFonts w:hint="eastAsia" w:ascii="方正仿宋_GB2312" w:hAnsi="方正仿宋_GB2312" w:eastAsia="方正仿宋_GB2312" w:cs="方正仿宋_GB2312"/>
          <w:kern w:val="0"/>
          <w:sz w:val="32"/>
          <w:szCs w:val="32"/>
          <w:highlight w:val="none"/>
          <w:lang w:val="en-US" w:eastAsia="zh-CN"/>
        </w:rPr>
        <w:t>人员</w:t>
      </w:r>
      <w:r>
        <w:rPr>
          <w:rFonts w:hint="eastAsia" w:ascii="方正仿宋_GB2312" w:hAnsi="方正仿宋_GB2312" w:eastAsia="方正仿宋_GB2312" w:cs="方正仿宋_GB2312"/>
          <w:kern w:val="0"/>
          <w:sz w:val="32"/>
          <w:szCs w:val="32"/>
          <w:highlight w:val="none"/>
        </w:rPr>
        <w:t>依法履职，主动作为</w:t>
      </w:r>
      <w:r>
        <w:rPr>
          <w:rFonts w:hint="eastAsia" w:ascii="方正仿宋_GB2312" w:hAnsi="方正仿宋_GB2312" w:eastAsia="方正仿宋_GB2312" w:cs="方正仿宋_GB2312"/>
          <w:kern w:val="0"/>
          <w:sz w:val="32"/>
          <w:szCs w:val="32"/>
          <w:highlight w:val="none"/>
          <w:lang w:eastAsia="zh-CN"/>
        </w:rPr>
        <w:t>。</w:t>
      </w:r>
      <w:r>
        <w:rPr>
          <w:rFonts w:hint="eastAsia" w:ascii="方正仿宋_GB2312" w:hAnsi="方正仿宋_GB2312" w:eastAsia="方正仿宋_GB2312" w:cs="方正仿宋_GB2312"/>
          <w:kern w:val="0"/>
          <w:sz w:val="32"/>
          <w:szCs w:val="32"/>
          <w:highlight w:val="none"/>
          <w:lang w:val="en-US" w:eastAsia="zh-CN"/>
        </w:rPr>
        <w:t>2022年，三条石街道综合执法大队共进行处罚</w:t>
      </w:r>
      <w:r>
        <w:rPr>
          <w:rFonts w:hint="eastAsia" w:ascii="方正仿宋_GB2312" w:hAnsi="方正仿宋_GB2312" w:eastAsia="方正仿宋_GB2312" w:cs="方正仿宋_GB2312"/>
          <w:kern w:val="0"/>
          <w:sz w:val="32"/>
          <w:szCs w:val="32"/>
          <w:highlight w:val="none"/>
          <w:u w:val="single"/>
          <w:lang w:val="en-US" w:eastAsia="zh-CN"/>
        </w:rPr>
        <w:t>20</w:t>
      </w:r>
      <w:r>
        <w:rPr>
          <w:rFonts w:hint="eastAsia" w:ascii="方正仿宋_GB2312" w:hAnsi="方正仿宋_GB2312" w:eastAsia="方正仿宋_GB2312" w:cs="方正仿宋_GB2312"/>
          <w:kern w:val="0"/>
          <w:sz w:val="32"/>
          <w:szCs w:val="32"/>
          <w:highlight w:val="none"/>
          <w:lang w:val="en-US" w:eastAsia="zh-CN"/>
        </w:rPr>
        <w:t>起，处罚金额5900元，所有处罚均已进行公示。</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二、党政主要负责人履行推进法治建设第一责任人职责</w:t>
      </w:r>
    </w:p>
    <w:p>
      <w:pPr>
        <w:keepNext w:val="0"/>
        <w:keepLines w:val="0"/>
        <w:pageBreakBefore w:val="0"/>
        <w:numPr>
          <w:ilvl w:val="0"/>
          <w:numId w:val="0"/>
        </w:numPr>
        <w:kinsoku/>
        <w:wordWrap/>
        <w:overflowPunct/>
        <w:topLinePunct w:val="0"/>
        <w:autoSpaceDE/>
        <w:autoSpaceDN/>
        <w:bidi w:val="0"/>
        <w:spacing w:line="588" w:lineRule="exact"/>
        <w:ind w:firstLine="640" w:firstLineChars="200"/>
        <w:jc w:val="left"/>
        <w:textAlignment w:val="auto"/>
        <w:rPr>
          <w:rFonts w:hint="eastAsia" w:ascii="方正仿宋_GB2312" w:hAnsi="方正仿宋_GB2312" w:eastAsia="方正仿宋_GB2312" w:cs="方正仿宋_GB2312"/>
          <w:b w:val="0"/>
          <w:bCs w:val="0"/>
          <w:kern w:val="0"/>
          <w:sz w:val="32"/>
          <w:szCs w:val="32"/>
          <w:highlight w:val="none"/>
          <w:lang w:val="en-US" w:eastAsia="zh-CN" w:bidi="ar"/>
        </w:rPr>
      </w:pPr>
      <w:r>
        <w:rPr>
          <w:rFonts w:hint="eastAsia" w:ascii="方正仿宋_GB2312" w:hAnsi="方正仿宋_GB2312" w:eastAsia="方正仿宋_GB2312" w:cs="方正仿宋_GB2312"/>
          <w:b w:val="0"/>
          <w:bCs w:val="0"/>
          <w:kern w:val="0"/>
          <w:sz w:val="32"/>
          <w:szCs w:val="32"/>
          <w:highlight w:val="none"/>
          <w:lang w:val="en-US" w:eastAsia="zh-CN" w:bidi="ar"/>
        </w:rPr>
        <w:t>一是发挥头雁效应，强化依法行政。</w:t>
      </w:r>
      <w:r>
        <w:rPr>
          <w:rFonts w:hint="eastAsia" w:ascii="方正仿宋_GB2312" w:hAnsi="方正仿宋_GB2312" w:eastAsia="方正仿宋_GB2312" w:cs="方正仿宋_GB2312"/>
          <w:b w:val="0"/>
          <w:bCs w:val="0"/>
          <w:kern w:val="0"/>
          <w:sz w:val="32"/>
          <w:szCs w:val="32"/>
          <w:highlight w:val="none"/>
          <w:lang w:val="en-US" w:eastAsia="zh-CN" w:bidi="ar"/>
        </w:rPr>
        <w:t>街道党政主要负责人高度重视法治政府建设，坚持带头学法用法，严格依法行政、依法决策、依法管理。坚持重大问题亲自过问、重要工作亲自部署、重点环节亲自协调、重要任务亲自督办，着力解决事关法治政府建设工作全局的突出问题。将法治建设工作纳入三条石街道党工委、办事处重要议事日程，将习近平法治思想及全面依法治国重要论述列入街道党工委理论中心组学习计划，切实提高领导干部运用法治思维和法治方式深化改革、推动发展、化解矛盾、维护安全稳定的能力。</w:t>
      </w:r>
    </w:p>
    <w:p>
      <w:pPr>
        <w:keepNext w:val="0"/>
        <w:keepLines w:val="0"/>
        <w:pageBreakBefore w:val="0"/>
        <w:numPr>
          <w:ilvl w:val="0"/>
          <w:numId w:val="0"/>
        </w:numPr>
        <w:kinsoku/>
        <w:wordWrap/>
        <w:overflowPunct/>
        <w:topLinePunct w:val="0"/>
        <w:autoSpaceDE/>
        <w:autoSpaceDN/>
        <w:bidi w:val="0"/>
        <w:spacing w:line="588" w:lineRule="exact"/>
        <w:ind w:firstLine="640" w:firstLineChars="200"/>
        <w:jc w:val="left"/>
        <w:textAlignment w:val="auto"/>
        <w:rPr>
          <w:rFonts w:hint="eastAsia" w:ascii="黑体" w:hAnsi="黑体" w:eastAsia="黑体" w:cs="黑体"/>
          <w:sz w:val="32"/>
          <w:szCs w:val="32"/>
          <w:lang w:val="en-US" w:eastAsia="zh-CN"/>
        </w:rPr>
      </w:pPr>
      <w:r>
        <w:rPr>
          <w:rFonts w:hint="eastAsia" w:ascii="方正仿宋_GB2312" w:hAnsi="方正仿宋_GB2312" w:eastAsia="方正仿宋_GB2312" w:cs="方正仿宋_GB2312"/>
          <w:b w:val="0"/>
          <w:bCs w:val="0"/>
          <w:kern w:val="0"/>
          <w:sz w:val="32"/>
          <w:szCs w:val="32"/>
          <w:highlight w:val="none"/>
          <w:lang w:val="en-US" w:eastAsia="zh-CN" w:bidi="ar"/>
        </w:rPr>
        <w:t>二是成立由街道党工委书记任组长，街道办事处主任任副组长的三条石街道法治政府建设工作领导小组，定期召开会议，研究部署法治政府工作。完善街道行政决策制度、重大事项集体讨论制度、党政班子会决议司法所列席制度，全面推动法治政府建设工作。2022年，街道党工委先后召开16次会议，研究落实法治政府和法治建设工作，传达学习法治政府建设相关文件精神。</w:t>
      </w:r>
      <w:r>
        <w:rPr>
          <w:rFonts w:hint="eastAsia" w:ascii="方正仿宋_GB2312" w:hAnsi="方正仿宋_GB2312" w:eastAsia="方正仿宋_GB2312" w:cs="方正仿宋_GB2312"/>
          <w:bCs/>
          <w:sz w:val="32"/>
          <w:szCs w:val="32"/>
          <w:highlight w:val="none"/>
          <w:lang w:val="en-US" w:eastAsia="zh-CN"/>
        </w:rPr>
        <w:t>街道党政领导班子会、</w:t>
      </w:r>
      <w:r>
        <w:rPr>
          <w:rFonts w:hint="eastAsia" w:ascii="方正仿宋_GB2312" w:hAnsi="方正仿宋_GB2312" w:eastAsia="方正仿宋_GB2312" w:cs="方正仿宋_GB2312"/>
          <w:sz w:val="32"/>
          <w:szCs w:val="32"/>
          <w:highlight w:val="none"/>
          <w:lang w:val="en-US" w:eastAsia="zh-CN"/>
        </w:rPr>
        <w:t>理论中心组共开展专题学习10次，街道整体依法行政能力得到提升。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三、存在的不足和问题</w:t>
      </w:r>
    </w:p>
    <w:p>
      <w:pPr>
        <w:keepNext w:val="0"/>
        <w:keepLines w:val="0"/>
        <w:pageBreakBefore w:val="0"/>
        <w:numPr>
          <w:ilvl w:val="0"/>
          <w:numId w:val="0"/>
        </w:numPr>
        <w:kinsoku/>
        <w:wordWrap/>
        <w:overflowPunct/>
        <w:topLinePunct w:val="0"/>
        <w:autoSpaceDE/>
        <w:autoSpaceDN/>
        <w:bidi w:val="0"/>
        <w:adjustRightInd w:val="0"/>
        <w:snapToGrid w:val="0"/>
        <w:spacing w:line="588" w:lineRule="exact"/>
        <w:ind w:firstLine="640" w:firstLineChars="200"/>
        <w:textAlignment w:val="auto"/>
        <w:rPr>
          <w:rFonts w:hint="eastAsia" w:ascii="黑体" w:hAnsi="黑体" w:eastAsia="黑体" w:cs="黑体"/>
          <w:sz w:val="32"/>
          <w:szCs w:val="32"/>
          <w:lang w:val="en-US" w:eastAsia="zh-CN"/>
        </w:rPr>
      </w:pPr>
      <w:r>
        <w:rPr>
          <w:rFonts w:hint="eastAsia" w:ascii="方正仿宋_GB2312" w:hAnsi="方正仿宋_GB2312" w:eastAsia="方正仿宋_GB2312" w:cs="方正仿宋_GB2312"/>
          <w:b w:val="0"/>
          <w:bCs w:val="0"/>
          <w:sz w:val="32"/>
          <w:szCs w:val="32"/>
          <w:highlight w:val="none"/>
          <w:lang w:val="en-US" w:eastAsia="zh-CN"/>
        </w:rPr>
        <w:t>三条石街道法治政府工作虽取得了一定成效，但对标对表法治政府建设的工作要求，仍存在不足之处。主要体现在：理论学习的深度和广度有待进一步拓展，完善社区治理存在薄弱环节，法治宣传力度有待进一步全面深入，辖区内居民的法治意识和法治观念还有待于进一步提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四、下一年度主要安排</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一是</w:t>
      </w:r>
      <w:r>
        <w:rPr>
          <w:rFonts w:hint="eastAsia" w:ascii="方正仿宋_GB2312" w:hAnsi="方正仿宋_GB2312" w:eastAsia="方正仿宋_GB2312" w:cs="方正仿宋_GB2312"/>
          <w:b w:val="0"/>
          <w:bCs w:val="0"/>
          <w:kern w:val="0"/>
          <w:sz w:val="32"/>
          <w:szCs w:val="32"/>
          <w:highlight w:val="none"/>
          <w:lang w:val="en-US" w:eastAsia="zh-CN"/>
        </w:rPr>
        <w:t>持续开展理论学习。</w:t>
      </w:r>
      <w:r>
        <w:rPr>
          <w:rFonts w:hint="eastAsia" w:ascii="方正仿宋_GB2312" w:hAnsi="方正仿宋_GB2312" w:eastAsia="方正仿宋_GB2312" w:cs="方正仿宋_GB2312"/>
          <w:b w:val="0"/>
          <w:bCs w:val="0"/>
          <w:sz w:val="32"/>
          <w:szCs w:val="32"/>
          <w:highlight w:val="none"/>
          <w:lang w:val="en-US" w:eastAsia="zh-CN"/>
        </w:rPr>
        <w:t>重</w:t>
      </w:r>
      <w:r>
        <w:rPr>
          <w:rFonts w:hint="eastAsia" w:ascii="方正仿宋_GB2312" w:hAnsi="方正仿宋_GB2312" w:eastAsia="方正仿宋_GB2312" w:cs="方正仿宋_GB2312"/>
          <w:sz w:val="32"/>
          <w:szCs w:val="32"/>
          <w:highlight w:val="none"/>
          <w:lang w:val="en-US" w:eastAsia="zh-CN"/>
        </w:rPr>
        <w:t>视理论的指导作用</w:t>
      </w:r>
      <w:r>
        <w:rPr>
          <w:rFonts w:hint="eastAsia" w:ascii="方正仿宋_GB2312" w:hAnsi="方正仿宋_GB2312" w:eastAsia="方正仿宋_GB2312" w:cs="方正仿宋_GB2312"/>
          <w:sz w:val="32"/>
          <w:szCs w:val="32"/>
          <w:highlight w:val="none"/>
          <w:lang w:val="zh-CN" w:eastAsia="zh-CN"/>
        </w:rPr>
        <w:t>，长期系统地学习</w:t>
      </w:r>
      <w:r>
        <w:rPr>
          <w:rFonts w:hint="eastAsia" w:ascii="方正仿宋_GB2312" w:hAnsi="方正仿宋_GB2312" w:eastAsia="方正仿宋_GB2312" w:cs="方正仿宋_GB2312"/>
          <w:sz w:val="32"/>
          <w:szCs w:val="32"/>
          <w:highlight w:val="none"/>
          <w:lang w:val="en-US" w:eastAsia="zh-CN"/>
        </w:rPr>
        <w:t>习近平法治思想及习近平总书记关于依法治国重要指示精神</w:t>
      </w:r>
      <w:r>
        <w:rPr>
          <w:rFonts w:hint="eastAsia" w:ascii="方正仿宋_GB2312" w:hAnsi="方正仿宋_GB2312" w:eastAsia="方正仿宋_GB2312" w:cs="方正仿宋_GB2312"/>
          <w:sz w:val="32"/>
          <w:szCs w:val="32"/>
          <w:highlight w:val="none"/>
          <w:lang w:val="zh-CN" w:eastAsia="zh-CN"/>
        </w:rPr>
        <w:t>。</w:t>
      </w:r>
      <w:r>
        <w:rPr>
          <w:rFonts w:hint="eastAsia" w:ascii="方正仿宋_GB2312" w:hAnsi="方正仿宋_GB2312" w:eastAsia="方正仿宋_GB2312" w:cs="方正仿宋_GB2312"/>
          <w:b w:val="0"/>
          <w:bCs w:val="0"/>
          <w:sz w:val="32"/>
          <w:szCs w:val="32"/>
          <w:highlight w:val="none"/>
          <w:lang w:val="en-US" w:eastAsia="zh-CN"/>
        </w:rPr>
        <w:t>组织落实街道</w:t>
      </w:r>
      <w:r>
        <w:rPr>
          <w:rFonts w:hint="eastAsia" w:ascii="方正仿宋_GB2312" w:hAnsi="方正仿宋_GB2312" w:eastAsia="方正仿宋_GB2312" w:cs="方正仿宋_GB2312"/>
          <w:b w:val="0"/>
          <w:bCs w:val="0"/>
          <w:sz w:val="32"/>
          <w:szCs w:val="32"/>
          <w:highlight w:val="none"/>
          <w:lang w:val="zh-CN" w:eastAsia="zh-CN"/>
        </w:rPr>
        <w:t>理论中心组</w:t>
      </w:r>
      <w:r>
        <w:rPr>
          <w:rFonts w:hint="eastAsia" w:ascii="方正仿宋_GB2312" w:hAnsi="方正仿宋_GB2312" w:eastAsia="方正仿宋_GB2312" w:cs="方正仿宋_GB2312"/>
          <w:b w:val="0"/>
          <w:bCs w:val="0"/>
          <w:sz w:val="32"/>
          <w:szCs w:val="32"/>
          <w:highlight w:val="none"/>
          <w:lang w:val="en-US" w:eastAsia="zh-CN"/>
        </w:rPr>
        <w:t>的</w:t>
      </w:r>
      <w:r>
        <w:rPr>
          <w:rFonts w:hint="eastAsia" w:ascii="方正仿宋_GB2312" w:hAnsi="方正仿宋_GB2312" w:eastAsia="方正仿宋_GB2312" w:cs="方正仿宋_GB2312"/>
          <w:b w:val="0"/>
          <w:bCs w:val="0"/>
          <w:sz w:val="32"/>
          <w:szCs w:val="32"/>
          <w:highlight w:val="none"/>
          <w:lang w:val="zh-CN" w:eastAsia="zh-CN"/>
        </w:rPr>
        <w:t>集体学习，</w:t>
      </w:r>
      <w:r>
        <w:rPr>
          <w:rFonts w:hint="eastAsia" w:ascii="方正仿宋_GB2312" w:hAnsi="方正仿宋_GB2312" w:eastAsia="方正仿宋_GB2312" w:cs="方正仿宋_GB2312"/>
          <w:b w:val="0"/>
          <w:bCs w:val="0"/>
          <w:sz w:val="32"/>
          <w:szCs w:val="32"/>
          <w:highlight w:val="none"/>
          <w:lang w:val="en-US" w:eastAsia="zh-CN"/>
        </w:rPr>
        <w:t>做好理论研讨和吸收，</w:t>
      </w:r>
      <w:r>
        <w:rPr>
          <w:rFonts w:hint="eastAsia" w:ascii="方正仿宋_GB2312" w:hAnsi="方正仿宋_GB2312" w:eastAsia="方正仿宋_GB2312" w:cs="方正仿宋_GB2312"/>
          <w:b w:val="0"/>
          <w:bCs w:val="0"/>
          <w:sz w:val="32"/>
          <w:szCs w:val="32"/>
          <w:highlight w:val="none"/>
          <w:lang w:val="zh-CN" w:eastAsia="zh-CN"/>
        </w:rPr>
        <w:t>夯实理论根基，提高政治站位；</w:t>
      </w:r>
      <w:r>
        <w:rPr>
          <w:rFonts w:hint="eastAsia" w:ascii="方正仿宋_GB2312" w:hAnsi="方正仿宋_GB2312" w:eastAsia="方正仿宋_GB2312" w:cs="方正仿宋_GB2312"/>
          <w:b w:val="0"/>
          <w:bCs w:val="0"/>
          <w:sz w:val="32"/>
          <w:szCs w:val="32"/>
          <w:highlight w:val="none"/>
          <w:lang w:val="en-US" w:eastAsia="zh-CN"/>
        </w:rPr>
        <w:t>积极传达法治政府建设相关文件、会议精神，结合实际工作进行班子会研讨学习，重部署、抓落实，有效推进文件学习与实际工作相结合，指导法治建设工作的全面提升；落实街道干部学法用法,组织落实各项法律法规及党内法规</w:t>
      </w:r>
      <w:r>
        <w:rPr>
          <w:rFonts w:hint="eastAsia" w:ascii="方正仿宋_GB2312" w:hAnsi="方正仿宋_GB2312" w:eastAsia="方正仿宋_GB2312" w:cs="方正仿宋_GB2312"/>
          <w:sz w:val="32"/>
          <w:szCs w:val="32"/>
          <w:highlight w:val="none"/>
          <w:lang w:val="en-US" w:eastAsia="zh-CN"/>
        </w:rPr>
        <w:t>的学习，注重强化领导干部的法治思想，提高依法行政水平。</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b w:val="0"/>
          <w:bCs w:val="0"/>
          <w:kern w:val="0"/>
          <w:sz w:val="32"/>
          <w:szCs w:val="32"/>
          <w:highlight w:val="none"/>
          <w:lang w:val="en" w:eastAsia="zh-CN"/>
        </w:rPr>
        <w:t>二是</w:t>
      </w:r>
      <w:r>
        <w:rPr>
          <w:rFonts w:hint="eastAsia" w:ascii="方正仿宋_GB2312" w:hAnsi="方正仿宋_GB2312" w:eastAsia="方正仿宋_GB2312" w:cs="方正仿宋_GB2312"/>
          <w:b w:val="0"/>
          <w:bCs w:val="0"/>
          <w:kern w:val="0"/>
          <w:sz w:val="32"/>
          <w:szCs w:val="32"/>
          <w:highlight w:val="none"/>
          <w:lang w:val="en-US" w:eastAsia="zh-CN"/>
        </w:rPr>
        <w:t>着重提高依法行政能力。</w:t>
      </w:r>
      <w:r>
        <w:rPr>
          <w:rFonts w:hint="eastAsia" w:ascii="方正仿宋_GB2312" w:hAnsi="方正仿宋_GB2312" w:eastAsia="方正仿宋_GB2312" w:cs="方正仿宋_GB2312"/>
          <w:sz w:val="32"/>
          <w:szCs w:val="32"/>
          <w:highlight w:val="none"/>
          <w:lang w:val="en-US" w:eastAsia="zh-CN"/>
        </w:rPr>
        <w:t>把</w:t>
      </w:r>
      <w:r>
        <w:rPr>
          <w:rFonts w:hint="eastAsia" w:ascii="方正仿宋_GB2312" w:hAnsi="方正仿宋_GB2312" w:eastAsia="方正仿宋_GB2312" w:cs="方正仿宋_GB2312"/>
          <w:b w:val="0"/>
          <w:bCs w:val="0"/>
          <w:sz w:val="32"/>
          <w:szCs w:val="32"/>
          <w:highlight w:val="none"/>
          <w:lang w:val="en-US" w:eastAsia="zh-CN"/>
        </w:rPr>
        <w:t>加强依法行政能力建设作为法治建设的重要任务，坚决贯彻落实“三重一大”制度，促进决策的公正化、科学化，提高依法行政水平。完善行政执法体制机制建设，落实行政执法“三项制度”，确保行政执法公示、执法全过程记录、重大执法决定法制审核。加大实际案例分析学习力度，强化法律法规的实际应用能力。继续在平安建设、市容环境、安全生产等领域推行依法行政，</w:t>
      </w:r>
      <w:r>
        <w:rPr>
          <w:rFonts w:hint="eastAsia" w:ascii="方正仿宋_GB2312" w:hAnsi="方正仿宋_GB2312" w:eastAsia="方正仿宋_GB2312" w:cs="方正仿宋_GB2312"/>
          <w:sz w:val="32"/>
          <w:szCs w:val="32"/>
          <w:highlight w:val="none"/>
          <w:lang w:val="en-US" w:eastAsia="zh-CN"/>
        </w:rPr>
        <w:t>强化行政执法违法监督和错案责任追究。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i w:val="0"/>
          <w:iCs w:val="0"/>
          <w:kern w:val="0"/>
          <w:sz w:val="32"/>
          <w:szCs w:val="32"/>
          <w:highlight w:val="none"/>
          <w:lang w:val="en" w:eastAsia="zh-CN"/>
        </w:rPr>
        <w:t>三是</w:t>
      </w:r>
      <w:r>
        <w:rPr>
          <w:rFonts w:hint="eastAsia" w:ascii="方正仿宋_GB2312" w:hAnsi="方正仿宋_GB2312" w:eastAsia="方正仿宋_GB2312" w:cs="方正仿宋_GB2312"/>
          <w:b w:val="0"/>
          <w:bCs w:val="0"/>
          <w:i w:val="0"/>
          <w:iCs w:val="0"/>
          <w:kern w:val="0"/>
          <w:sz w:val="32"/>
          <w:szCs w:val="32"/>
          <w:highlight w:val="none"/>
          <w:lang w:val="en-US" w:eastAsia="zh-CN"/>
        </w:rPr>
        <w:t>巩固深化社区法治建设。</w:t>
      </w:r>
      <w:r>
        <w:rPr>
          <w:rFonts w:hint="eastAsia" w:ascii="方正仿宋_GB2312" w:hAnsi="方正仿宋_GB2312" w:eastAsia="方正仿宋_GB2312" w:cs="方正仿宋_GB2312"/>
          <w:b w:val="0"/>
          <w:bCs w:val="0"/>
          <w:sz w:val="32"/>
          <w:szCs w:val="32"/>
          <w:highlight w:val="none"/>
          <w:lang w:val="en-US" w:eastAsia="zh-CN"/>
        </w:rPr>
        <w:t>总结和巩固法治思想在社区基层治理中的应用经验，探索长效机制。深入开展多层次、多形式的法治宣传活动，提高居民的法治意识。树立问题意识、坚持问题导向，依法解决社区治理中的突出问题，强化基层社会治理的法治保障，切实维护群众合法权益。充分调动广大群众的主动性、积极性，引导群众积极参与到法治建设工作中，推进社区基层依法治理。</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kern w:val="0"/>
          <w:sz w:val="32"/>
          <w:szCs w:val="32"/>
          <w:highlight w:val="none"/>
          <w:lang w:val="en" w:eastAsia="zh-CN"/>
        </w:rPr>
        <w:t>四是</w:t>
      </w:r>
      <w:r>
        <w:rPr>
          <w:rFonts w:hint="eastAsia" w:ascii="方正仿宋_GB2312" w:hAnsi="方正仿宋_GB2312" w:eastAsia="方正仿宋_GB2312" w:cs="方正仿宋_GB2312"/>
          <w:b w:val="0"/>
          <w:bCs w:val="0"/>
          <w:kern w:val="0"/>
          <w:sz w:val="32"/>
          <w:szCs w:val="32"/>
          <w:highlight w:val="none"/>
          <w:lang w:val="en-US" w:eastAsia="zh-CN"/>
        </w:rPr>
        <w:t>进一步强化宣传教育。</w:t>
      </w:r>
      <w:r>
        <w:rPr>
          <w:rFonts w:hint="eastAsia" w:ascii="方正仿宋_GB2312" w:hAnsi="方正仿宋_GB2312" w:eastAsia="方正仿宋_GB2312" w:cs="方正仿宋_GB2312"/>
          <w:b w:val="0"/>
          <w:bCs w:val="0"/>
          <w:sz w:val="32"/>
          <w:szCs w:val="32"/>
          <w:highlight w:val="none"/>
          <w:lang w:val="en-US" w:eastAsia="zh-CN"/>
        </w:rPr>
        <w:t>坚持把普法宣传教育作为法治政府建设的基础性长期性工作，认真研习红桥区依法治区工作方案，落实“八五”普法工作。创新法治宣传方式方法，强化法治宣传的阵地建设，组建法律宣讲团，深入基层开展“以案说法”、“现身说法”，让群众在潜移默化中受到法律的浸润和感染。</w:t>
      </w:r>
    </w:p>
    <w:p>
      <w:pPr>
        <w:numPr>
          <w:ilvl w:val="0"/>
          <w:numId w:val="0"/>
        </w:numPr>
        <w:ind w:firstLine="640" w:firstLineChars="200"/>
        <w:jc w:val="right"/>
        <w:rPr>
          <w:rFonts w:hint="eastAsia" w:ascii="方正仿宋_GB2312" w:hAnsi="方正仿宋_GB2312" w:eastAsia="方正仿宋_GB2312" w:cs="方正仿宋_GB2312"/>
          <w:b w:val="0"/>
          <w:bCs w:val="0"/>
          <w:sz w:val="32"/>
          <w:szCs w:val="32"/>
          <w:highlight w:val="none"/>
          <w:lang w:val="en-US" w:eastAsia="zh-CN"/>
        </w:rPr>
      </w:pPr>
    </w:p>
    <w:p>
      <w:pPr>
        <w:pStyle w:val="2"/>
        <w:rPr>
          <w:rFonts w:hint="eastAsia" w:ascii="方正仿宋_GB2312" w:hAnsi="方正仿宋_GB2312" w:eastAsia="方正仿宋_GB2312" w:cs="方正仿宋_GB2312"/>
          <w:b w:val="0"/>
          <w:bCs w:val="0"/>
          <w:sz w:val="32"/>
          <w:szCs w:val="32"/>
          <w:highlight w:val="none"/>
          <w:lang w:val="en-US" w:eastAsia="zh-CN"/>
        </w:rPr>
      </w:pPr>
      <w:bookmarkStart w:id="0" w:name="_GoBack"/>
      <w:bookmarkEnd w:id="0"/>
    </w:p>
    <w:p>
      <w:pPr>
        <w:pStyle w:val="2"/>
        <w:rPr>
          <w:rFonts w:hint="eastAsia" w:ascii="方正仿宋_GB2312" w:hAnsi="方正仿宋_GB2312" w:eastAsia="方正仿宋_GB2312" w:cs="方正仿宋_GB2312"/>
          <w:b w:val="0"/>
          <w:bCs w:val="0"/>
          <w:sz w:val="32"/>
          <w:szCs w:val="32"/>
          <w:highlight w:val="none"/>
          <w:lang w:val="en-US" w:eastAsia="zh-CN"/>
        </w:rPr>
      </w:pPr>
    </w:p>
    <w:p>
      <w:pPr>
        <w:numPr>
          <w:ilvl w:val="0"/>
          <w:numId w:val="0"/>
        </w:numPr>
        <w:ind w:firstLine="640" w:firstLineChars="200"/>
        <w:jc w:val="right"/>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三条石街道办事处</w:t>
      </w:r>
    </w:p>
    <w:p>
      <w:pPr>
        <w:numPr>
          <w:ilvl w:val="0"/>
          <w:numId w:val="0"/>
        </w:numPr>
        <w:ind w:firstLine="640" w:firstLineChars="200"/>
        <w:jc w:val="right"/>
        <w:rPr>
          <w:rFonts w:hint="eastAsia" w:ascii="方正仿宋_GB2312" w:hAnsi="方正仿宋_GB2312" w:eastAsia="方正仿宋_GB2312" w:cs="方正仿宋_GB2312"/>
          <w:b w:val="0"/>
          <w:bCs w:val="0"/>
          <w:sz w:val="32"/>
          <w:szCs w:val="32"/>
          <w:highlight w:val="none"/>
          <w:lang w:val="en-US" w:eastAsia="zh-CN"/>
        </w:rPr>
      </w:pPr>
      <w:r>
        <w:rPr>
          <w:rFonts w:hint="eastAsia" w:ascii="方正仿宋_GB2312" w:hAnsi="方正仿宋_GB2312" w:eastAsia="方正仿宋_GB2312" w:cs="方正仿宋_GB2312"/>
          <w:b w:val="0"/>
          <w:bCs w:val="0"/>
          <w:sz w:val="32"/>
          <w:szCs w:val="32"/>
          <w:highlight w:val="none"/>
          <w:lang w:val="en-US" w:eastAsia="zh-CN"/>
        </w:rPr>
        <w:t>2023年1月17日</w:t>
      </w:r>
    </w:p>
    <w:p>
      <w:pPr>
        <w:numPr>
          <w:ilvl w:val="0"/>
          <w:numId w:val="0"/>
        </w:numPr>
        <w:ind w:firstLine="640" w:firstLineChars="200"/>
        <w:rPr>
          <w:rFonts w:hint="eastAsia" w:ascii="仿宋_GB2312" w:hAnsi="仿宋_GB2312" w:eastAsia="仿宋_GB2312" w:cs="仿宋_GB2312"/>
          <w:b w:val="0"/>
          <w:bCs w:val="0"/>
          <w:sz w:val="32"/>
          <w:szCs w:val="32"/>
          <w:highlight w:val="none"/>
          <w:lang w:val="en-US" w:eastAsia="zh-CN"/>
        </w:rPr>
      </w:pPr>
    </w:p>
    <w:p>
      <w:pPr>
        <w:numPr>
          <w:ilvl w:val="0"/>
          <w:numId w:val="0"/>
        </w:numPr>
        <w:rPr>
          <w:rFonts w:hint="eastAsia" w:ascii="黑体" w:hAnsi="黑体" w:eastAsia="黑体" w:cs="黑体"/>
          <w:sz w:val="32"/>
          <w:szCs w:val="32"/>
          <w:lang w:val="en-US" w:eastAsia="zh-CN"/>
        </w:rPr>
      </w:pPr>
    </w:p>
    <w:sectPr>
      <w:footerReference r:id="rId3" w:type="default"/>
      <w:pgSz w:w="11906" w:h="16838"/>
      <w:pgMar w:top="2041" w:right="1559" w:bottom="187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6A2879FD-8C43-48D2-B5A5-76E9C818935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embedRegular r:id="rId2" w:fontKey="{DAD7C99D-9417-4230-A565-755DD2F1417E}"/>
  </w:font>
  <w:font w:name="方正仿宋_GB2312">
    <w:altName w:val="仿宋"/>
    <w:panose1 w:val="02000000000000000000"/>
    <w:charset w:val="86"/>
    <w:family w:val="auto"/>
    <w:pitch w:val="default"/>
    <w:sig w:usb0="00000000" w:usb1="00000000" w:usb2="00000012" w:usb3="00000000" w:csb0="00040001" w:csb1="00000000"/>
    <w:embedRegular r:id="rId3" w:fontKey="{57B9219B-4734-4392-B2B8-BCF8BCB6EB1D}"/>
  </w:font>
  <w:font w:name="仿宋_GB2312">
    <w:panose1 w:val="02010609030101010101"/>
    <w:charset w:val="86"/>
    <w:family w:val="modern"/>
    <w:pitch w:val="default"/>
    <w:sig w:usb0="00000001" w:usb1="080E0000" w:usb2="00000000" w:usb3="00000000" w:csb0="00040000" w:csb1="00000000"/>
    <w:embedRegular r:id="rId4" w:fontKey="{D8FDE8AD-6B2A-4850-89F1-A0EA3A8CD0DC}"/>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3NTg4ZmQ2NWMyOTQ3YjUwNTAwNjE4MmRmZjQwYTgifQ=="/>
  </w:docVars>
  <w:rsids>
    <w:rsidRoot w:val="4B296C4D"/>
    <w:rsid w:val="003C401D"/>
    <w:rsid w:val="007D046B"/>
    <w:rsid w:val="007E75A8"/>
    <w:rsid w:val="018B0EE8"/>
    <w:rsid w:val="036D789D"/>
    <w:rsid w:val="09FF1D5F"/>
    <w:rsid w:val="0AFD710E"/>
    <w:rsid w:val="0CF05D7A"/>
    <w:rsid w:val="0E0C5EFC"/>
    <w:rsid w:val="125D0492"/>
    <w:rsid w:val="150176D8"/>
    <w:rsid w:val="156D2ACD"/>
    <w:rsid w:val="18610375"/>
    <w:rsid w:val="18D73E38"/>
    <w:rsid w:val="19211E0F"/>
    <w:rsid w:val="196A0D38"/>
    <w:rsid w:val="19B44F4E"/>
    <w:rsid w:val="1B9835CA"/>
    <w:rsid w:val="1DC27241"/>
    <w:rsid w:val="1FFC753C"/>
    <w:rsid w:val="26C31B41"/>
    <w:rsid w:val="2863291A"/>
    <w:rsid w:val="29AE1DE3"/>
    <w:rsid w:val="29D400FE"/>
    <w:rsid w:val="2C953FA4"/>
    <w:rsid w:val="2DBD22BF"/>
    <w:rsid w:val="2E3778C5"/>
    <w:rsid w:val="2F82693A"/>
    <w:rsid w:val="322A618B"/>
    <w:rsid w:val="3342452F"/>
    <w:rsid w:val="3437715C"/>
    <w:rsid w:val="34683733"/>
    <w:rsid w:val="350A4330"/>
    <w:rsid w:val="38653A89"/>
    <w:rsid w:val="3C3E6A1E"/>
    <w:rsid w:val="3CBA4CB7"/>
    <w:rsid w:val="3E5F2F5B"/>
    <w:rsid w:val="40AC1ADA"/>
    <w:rsid w:val="422449A5"/>
    <w:rsid w:val="451119CC"/>
    <w:rsid w:val="461B6DA9"/>
    <w:rsid w:val="477141DD"/>
    <w:rsid w:val="478F0A9E"/>
    <w:rsid w:val="4A1A5506"/>
    <w:rsid w:val="4A34774F"/>
    <w:rsid w:val="4A501A50"/>
    <w:rsid w:val="4B296C4D"/>
    <w:rsid w:val="512247A5"/>
    <w:rsid w:val="51340035"/>
    <w:rsid w:val="554A3A8A"/>
    <w:rsid w:val="55E756C6"/>
    <w:rsid w:val="599F72FB"/>
    <w:rsid w:val="5AB32454"/>
    <w:rsid w:val="5F8976B7"/>
    <w:rsid w:val="61C64C30"/>
    <w:rsid w:val="66607936"/>
    <w:rsid w:val="676C401F"/>
    <w:rsid w:val="67E7550F"/>
    <w:rsid w:val="6C542A25"/>
    <w:rsid w:val="6D434EDF"/>
    <w:rsid w:val="700E142B"/>
    <w:rsid w:val="72A5540F"/>
    <w:rsid w:val="73AB6CE1"/>
    <w:rsid w:val="752B6CFE"/>
    <w:rsid w:val="756622D6"/>
    <w:rsid w:val="756B47CB"/>
    <w:rsid w:val="75DE4488"/>
    <w:rsid w:val="7FDDFE12"/>
    <w:rsid w:val="7FE9206A"/>
    <w:rsid w:val="BC7F8F08"/>
    <w:rsid w:val="EEEFD1F4"/>
    <w:rsid w:val="FDDDC57E"/>
    <w:rsid w:val="FEBBB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Hyperlink"/>
    <w:basedOn w:val="8"/>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2022-03-24T08:55:00Z</dcterms:created>
  <dc:creator>爱妮</dc:creator>
  <cp:lastModifiedBy>、Titanium</cp:lastModifiedBy>
  <cp:lastPrinted>2022-03-26T18:33:00Z</cp:lastPrinted>
  <dcterms:modified xsi:type="dcterms:W3CDTF">2024-02-19T01:27:18Z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D035F69B1BEC49F2A87C428600E19A37</vt:lpwstr>
  </property>
</Properties>
</file>