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三条石街2022年行政执法工作报告</w:t>
      </w:r>
    </w:p>
    <w:p>
      <w:pPr>
        <w:rPr>
          <w:rFonts w:hint="eastAsia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2022年以来，我街道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习近平法治思想为指导，全面学习贯彻党的二十大精神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区委、区政府的领导下，在区司法局的业务指导下，持续依法履行职责，严格落实行“三项制度”，坚持严格规范公正文明执法，贯彻落实法治政府建设各项要求，加强法治工作队伍建设，现将2022年行政执法工作情况汇报如下：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640" w:lineRule="atLeast"/>
        <w:ind w:left="645" w:leftChars="0"/>
        <w:jc w:val="left"/>
        <w:rPr>
          <w:rFonts w:hint="default" w:ascii="仿宋" w:hAnsi="仿宋" w:eastAsia="仿宋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一、规范执法流程，履行法定职责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过程坚持公开透明。严格落实双人执法、亮证执法，每个案件需两名以上执法人员共同执法，执法队员在执法过程中积极主动出示执法证，以表明身份。在疫情防控常态化情况下坚持严格执法和服务为民相结合，充分运用说服教育、劝导示范、警示告诫、指导约谈等方式，努力做到宽严相济、法理相融，让执法既有力度又有温度。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证过程坚持真实完备。依法规范行政执法调查取证用语和行为方式，确保语言文明、办事规范。目前大队内共有执法记录仪15台、摄像机3台、对讲机21台，确保各类执法辅助设备向一线人员下沉，全程记录执法过程。做到执法全过程留痕和可回溯管理，切实强化证据和程序意识，确保事实清楚，证据确实充分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案过程坚持规范统一。大队以新修订的《行政处罚法》和《行政强制法》的规定为依据处理案卷，对于适用一般程序的案件，严格按照规定履行程序，即立案、调查取证、告知、决定、送达、执行。在法律文书方面，建立并实施规范性文件统一登记、统一编号、统一印发的“三统一”制度。统一使用区司法局制定的格式文书，对法律文书按照统一格式制做、装订，坚持一案一档一卷，及时将档案卷宗进行整理归档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处罚缴坚持合理明确。准确把握法条的调整对象和适用范围，严格按照规定处罚幅度作出行政处罚，实行查处分离、罚缴分离制度。2022年，大队重新修订并完善了《三条石街综合执法大队罚款及票据管理制度》，对于罚款票据的领用、使用均做出了明确规定，并要求大队法制人员需每月进行一次检查，一季度进行一次罚款票据清算，做到帐款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符、帐票相符。</w:t>
      </w:r>
    </w:p>
    <w:p>
      <w:pPr>
        <w:widowControl/>
        <w:shd w:val="clear" w:color="auto" w:fill="FFFFFF"/>
        <w:snapToGrid w:val="0"/>
        <w:spacing w:line="640" w:lineRule="atLeast"/>
        <w:ind w:firstLine="645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健全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监督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机制，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全面公示公开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健全内外监督，畅通监督举报。继续贯彻《</w:t>
      </w:r>
      <w:bookmarkStart w:id="0" w:name="_Toc33929088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三条石街综合执法工作行政执法错案和过错责任追究办法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》、《三条石街道办事处内部人员干预、插手案件办理责任追究规定》制度办法，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规范投诉、受理、处理、回复等制度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。及时向社会公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布投诉举报电话等投诉举报途径，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高度重视各类群众投诉举报事宜，围绕“迎盛会、铸忠诚、强担当、创业绩”主题实践活动，2022年大队共处置12345、智慧信访、人民网等各类群众来件近300起，切实回应解决群众急难愁盼实际问题。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重公开公示，自觉接受监督。2022年，三条石街综合执法大队共进行处罚20起，合计罚款5900元，其中一般处罚3起，罚款5000元；简易处罚17起，罚款900元，涉及占用桥下空间经营、社区占绿毁绿、占路经营等多个领域，20起行政处罚均在规定时间内在信用中国（天津）“双公示”平台录入公示。充分运用天津市行政执法监督平台、“互联网+监管”平台及时准确更新执法人员信息、录入执法数据、处罚案卷，全年累计录入行政检查1300余次，处罚案卷均全部上传、完成公示，并按照要求积极开展线上案卷评查，不断提升案卷质量。大队全面推进行政执法信息化建设，灵活、充分使用各平台进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城管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，自觉接受社会监督，让行政执法全过程暴露在阳光之下，让执法更具有公信力。</w:t>
      </w:r>
    </w:p>
    <w:p>
      <w:pPr>
        <w:widowControl/>
        <w:numPr>
          <w:ilvl w:val="0"/>
          <w:numId w:val="0"/>
        </w:numPr>
        <w:shd w:val="clear" w:color="auto" w:fill="FFFFFF"/>
        <w:spacing w:line="375" w:lineRule="atLeast"/>
        <w:ind w:firstLine="643" w:firstLineChars="200"/>
        <w:jc w:val="left"/>
        <w:rPr>
          <w:rFonts w:hint="default" w:ascii="仿宋" w:hAnsi="仿宋" w:eastAsia="仿宋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三、建设法治队伍,推进普法宣传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行政执法人员法治培训，全面实行行政执法人员持证上岗，街执法队全部14名干部均通过公共法律和专业法律培训和考试。在法治队伍建设上，一方面，抓好执法人员学法用法讲法，将区司法局、区城管委集中学习、队内定期学习与个人自学有机结合，做到学法用法与时俱进、活学活用，对于《天津市生活垃圾管理条例》、新修订的《行政处罚法》等比较新的法律法规加强例行学习，对于日常执法常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的《天津市文明行为促进条例》、《天津市市容和环境卫生管理条例》等加强日常运用实践；另一方面，加强对队内重点岗位、重点流程、重点环节的监督检查，持续严格执行执法过错责任追究制度。同步提升协勤队员管理，优化协勤队员分组分工，明确小组包片、包社区、包道路责任，紧密结合实际执法重点与临时任务、结合早晚间错时与延时需要动态调整，全方位增强我街行政执法人员的法治思维和业务能力，提高执法人员依法行政、依规办事水平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根据“谁执法谁普法”原则，我街行政执法人员在加强法律学习的同时，坚持普法执法两手抓，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开展多渠道、多形式的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宣传教育活动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结合垃圾分类百日专项治理行动、创文创卫等节点，在居民群体中以宣传《天津市文明行为促进条例》、《天津市生活垃圾管理条例》等与群众息息相关的法律法规为主。并联合街内相关职能科室、社区共同将普法宣传融入宣传整体工作，以法治方式继续巩固各项治理成果。结合多部门联合清整等节点，在商户中以宣传“门前三包”为主，逐户宣讲、送法上门，告知商户、商贩自觉遵守城市管理相关法律、法规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用真情实感来赢得广大市民对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工作的支持与理解，营造良好的社会氛围和强大的舆论声势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，树立新时代城管形象，确保城市管理面貌和社会秩序不断提升改善。</w:t>
      </w:r>
    </w:p>
    <w:p>
      <w:pPr>
        <w:widowControl/>
        <w:numPr>
          <w:ilvl w:val="0"/>
          <w:numId w:val="1"/>
        </w:numPr>
        <w:shd w:val="clear" w:color="auto" w:fill="FFFFFF"/>
        <w:spacing w:line="375" w:lineRule="atLeast"/>
        <w:ind w:firstLine="643" w:firstLineChars="200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下一步工作计划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2023年的工作中，我街将围绕街道中心工作、专项整治任务等，持续统筹推进街道行政执法“三项制度”，继续按照法治政府建设工作的相关要求，扎实推进基层行政执法工作。积极在已有工作成效的基础上主动查找薄弱环节，全面开展城市环境综合整治工作，显著提升城市环境品质，采取批评教育、责令改正等多种手段引导相对人纠正轻微违法行为，在实现警示与教育的同时进一步提升行政执法的效率和效果。同时，按照习近平法治思想进一步加强法治队伍建设工作，不断提高执法人员各项素质，增强依法行政观念，完善各项制度，切实加强纪律作风整顿，做到依法执法、文明执法、严格执法，进一步提升城市管理温度和力度，为我街、我区综合环境优化再创新功。</w:t>
      </w:r>
    </w:p>
    <w:p>
      <w:pPr>
        <w:widowControl/>
        <w:numPr>
          <w:ilvl w:val="0"/>
          <w:numId w:val="0"/>
        </w:numPr>
        <w:shd w:val="clear" w:color="auto" w:fill="FFFFFF"/>
        <w:spacing w:line="375" w:lineRule="atLeas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75" w:lineRule="atLeas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三条石街道办事处</w:t>
      </w:r>
    </w:p>
    <w:p>
      <w:pPr>
        <w:widowControl/>
        <w:numPr>
          <w:ilvl w:val="0"/>
          <w:numId w:val="0"/>
        </w:numPr>
        <w:shd w:val="clear" w:color="auto" w:fill="FFFFFF"/>
        <w:spacing w:line="375" w:lineRule="atLeast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4C303"/>
    <w:multiLevelType w:val="singleLevel"/>
    <w:tmpl w:val="A814C3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NDYzY2YyZWFkOTg5YWRhMjNhYTU2M2FlMWM4ZjEifQ=="/>
  </w:docVars>
  <w:rsids>
    <w:rsidRoot w:val="0C8D019F"/>
    <w:rsid w:val="0C8D019F"/>
    <w:rsid w:val="17AA0AF7"/>
    <w:rsid w:val="1BEB2668"/>
    <w:rsid w:val="1C7B18D1"/>
    <w:rsid w:val="276F4923"/>
    <w:rsid w:val="3B04358C"/>
    <w:rsid w:val="51F83D52"/>
    <w:rsid w:val="51FD4D66"/>
    <w:rsid w:val="684B23DC"/>
    <w:rsid w:val="6855684C"/>
    <w:rsid w:val="7D8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styleId="13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hover5"/>
    <w:basedOn w:val="8"/>
    <w:qFormat/>
    <w:uiPriority w:val="0"/>
    <w:rPr>
      <w:color w:val="355E9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2356</Words>
  <Characters>2404</Characters>
  <Lines>0</Lines>
  <Paragraphs>0</Paragraphs>
  <TotalTime>47</TotalTime>
  <ScaleCrop>false</ScaleCrop>
  <LinksUpToDate>false</LinksUpToDate>
  <CharactersWithSpaces>2404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2020-12-23T07:22:00Z</dcterms:created>
  <dc:creator>阿越小脑斧❀</dc:creator>
  <cp:lastModifiedBy>阿越小脑斧❀</cp:lastModifiedBy>
  <cp:lastPrinted>2022-12-07T03:08:06Z</cp:lastPrinted>
  <dcterms:modified xsi:type="dcterms:W3CDTF">2022-12-07T06:29:45Z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5025EC9BA31249F9AB88650D32199005</vt:lpwstr>
  </property>
</Properties>
</file>