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rPr>
      </w:pP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-145415</wp:posOffset>
                </wp:positionH>
                <wp:positionV relativeFrom="page">
                  <wp:posOffset>9973310</wp:posOffset>
                </wp:positionV>
                <wp:extent cx="6000750" cy="0"/>
                <wp:effectExtent l="0" t="25400" r="19050" b="25400"/>
                <wp:wrapNone/>
                <wp:docPr id="9" name="直线 24"/>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nThick">
                          <a:solidFill>
                            <a:srgbClr val="FF0000"/>
                          </a:solidFill>
                          <a:round/>
                        </a:ln>
                      </wps:spPr>
                      <wps:bodyPr/>
                    </wps:wsp>
                  </a:graphicData>
                </a:graphic>
              </wp:anchor>
            </w:drawing>
          </mc:Choice>
          <mc:Fallback>
            <w:pict>
              <v:line id="直线 24" o:spid="_x0000_s1026" o:spt="20" style="position:absolute;left:0pt;margin-left:-11.45pt;margin-top:785.3pt;height:0pt;width:472.5pt;mso-position-vertical-relative:page;z-index:251660288;mso-width-relative:page;mso-height-relative:page;" filled="f" stroked="t" coordsize="21600,21600" o:gfxdata="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lEQOvXAAAADQEAAA8AAAAAAAAAAQAgAAAAIgAAAGRycy9k&#10;b3ducmV2LnhtbFBLAQIUABQAAAAIAIdO4kDGwk1nygEAAIIDAAAOAAAAAAAAAAEAIAAAACYBAABk&#10;cnMvZTJvRG9jLnhtbFBLBQYAAAAABgAGAFkBAABiBQAAAAA=&#10;">
                <v:fill on="f" focussize="0,0"/>
                <v:stroke weight="4.5pt" color="#FF0000" linestyle="thinThick" joinstyle="round"/>
                <v:imagedata o:title=""/>
                <o:lock v:ext="edit" aspectratio="f"/>
                <w10:anchorlock/>
              </v:line>
            </w:pict>
          </mc:Fallback>
        </mc:AlternateContent>
      </w: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-152400</wp:posOffset>
                </wp:positionH>
                <wp:positionV relativeFrom="page">
                  <wp:posOffset>1548130</wp:posOffset>
                </wp:positionV>
                <wp:extent cx="6000750" cy="0"/>
                <wp:effectExtent l="0" t="25400" r="19050" b="25400"/>
                <wp:wrapNone/>
                <wp:docPr id="8" name="直线 23"/>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ckThin">
                          <a:solidFill>
                            <a:srgbClr val="FF0000"/>
                          </a:solidFill>
                          <a:round/>
                        </a:ln>
                      </wps:spPr>
                      <wps:bodyPr/>
                    </wps:wsp>
                  </a:graphicData>
                </a:graphic>
              </wp:anchor>
            </w:drawing>
          </mc:Choice>
          <mc:Fallback>
            <w:pict>
              <v:line id="直线 23" o:spid="_x0000_s1026" o:spt="20" style="position:absolute;left:0pt;margin-left:-12pt;margin-top:121.9pt;height:0pt;width:472.5pt;mso-position-vertical-relative:page;z-index:251660288;mso-width-relative:page;mso-height-relative:page;" filled="f" stroked="t" coordsize="21600,21600" o:gfxdata="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TRkV1gAAAAsBAAAPAAAAAAAAAAEAIAAAACIAAABkcnMvZG93&#10;bnJldi54bWxQSwECFAAUAAAACACHTuJAUVmjIMkBAACCAwAADgAAAAAAAAABACAAAAAlAQAAZHJz&#10;L2Uyb0RvYy54bWxQSwUGAAAAAAYABgBZAQAAYAUAAAAA&#10;">
                <v:fill on="f" focussize="0,0"/>
                <v:stroke weight="4.5pt" color="#FF0000" linestyle="thickThin" joinstyle="round"/>
                <v:imagedata o:title=""/>
                <o:lock v:ext="edit" aspectratio="f"/>
                <w10:anchorlock/>
              </v:line>
            </w:pict>
          </mc:Fallback>
        </mc:AlternateContent>
      </w:r>
    </w:p>
    <w:p>
      <w:pPr>
        <w:spacing w:line="560" w:lineRule="exact"/>
        <w:jc w:val="center"/>
        <w:rPr>
          <w:rFonts w:hint="eastAsia" w:ascii="文星仿宋" w:eastAsia="文星仿宋"/>
          <w:sz w:val="18"/>
          <w:szCs w:val="18"/>
        </w:rPr>
      </w:pPr>
      <w:r>
        <w:rPr>
          <w:rFonts w:hint="eastAsia" w:ascii="文星仿宋" w:eastAsia="文星仿宋"/>
          <w:sz w:val="28"/>
          <w:szCs w:val="28"/>
        </w:rPr>
        <w:t xml:space="preserve">                                         </w:t>
      </w:r>
    </w:p>
    <w:p>
      <w:pPr>
        <w:spacing w:line="270" w:lineRule="atLeast"/>
        <w:rPr>
          <w:rFonts w:hint="eastAsia" w:ascii="微软雅黑" w:hAnsi="微软雅黑" w:eastAsia="微软雅黑" w:cs="宋体"/>
          <w:color w:val="000000"/>
          <w:sz w:val="12"/>
          <w:szCs w:val="12"/>
        </w:rPr>
      </w:pPr>
      <w:r>
        <w:rPr>
          <w:rFonts w:hint="eastAsia" w:ascii="文星仿宋" w:eastAsia="文星仿宋"/>
          <w:sz w:val="24"/>
          <w:szCs w:val="24"/>
        </w:rPr>
        <w:t>项目代码：211</w:t>
      </w:r>
      <w:r>
        <w:rPr>
          <w:rFonts w:ascii="文星仿宋" w:eastAsia="文星仿宋"/>
          <w:sz w:val="24"/>
          <w:szCs w:val="24"/>
        </w:rPr>
        <w:t>2</w:t>
      </w:r>
      <w:r>
        <w:rPr>
          <w:rFonts w:hint="eastAsia" w:ascii="文星仿宋" w:eastAsia="文星仿宋"/>
          <w:sz w:val="24"/>
          <w:szCs w:val="24"/>
        </w:rPr>
        <w:t>-120106-89-01-5</w:t>
      </w:r>
      <w:r>
        <w:rPr>
          <w:rFonts w:ascii="文星仿宋" w:eastAsia="文星仿宋"/>
          <w:sz w:val="24"/>
          <w:szCs w:val="24"/>
        </w:rPr>
        <w:t>55813</w:t>
      </w:r>
      <w:r>
        <w:rPr>
          <w:rFonts w:hint="eastAsia" w:ascii="微软雅黑" w:hAnsi="微软雅黑" w:eastAsia="微软雅黑" w:cs="宋体"/>
          <w:color w:val="000000"/>
          <w:kern w:val="0"/>
          <w:sz w:val="12"/>
          <w:szCs w:val="12"/>
        </w:rPr>
        <w:t xml:space="preserve">                                       </w:t>
      </w:r>
      <w:r>
        <w:rPr>
          <w:rFonts w:hint="eastAsia" w:ascii="文星仿宋" w:eastAsia="文星仿宋"/>
          <w:sz w:val="24"/>
          <w:szCs w:val="24"/>
        </w:rPr>
        <w:t>津红政务环表</w:t>
      </w:r>
      <w:r>
        <w:rPr>
          <w:rFonts w:hint="eastAsia" w:ascii="文星仿宋" w:eastAsia="文星仿宋"/>
          <w:color w:val="000000"/>
          <w:sz w:val="24"/>
          <w:szCs w:val="24"/>
        </w:rPr>
        <w:t>〔2022〕2号</w:t>
      </w:r>
    </w:p>
    <w:p>
      <w:pPr>
        <w:spacing w:line="200" w:lineRule="exact"/>
        <w:rPr>
          <w:rFonts w:hint="eastAsia" w:hAnsi="文星标宋" w:eastAsia="文星标宋"/>
          <w:w w:val="95"/>
          <w:sz w:val="18"/>
          <w:szCs w:val="1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rPr>
      </w:pPr>
      <w:r>
        <w:rPr>
          <w:rFonts w:hint="eastAsia" w:ascii="文星标宋" w:hAnsi="文星标宋" w:eastAsia="文星标宋"/>
          <w:sz w:val="44"/>
          <w:szCs w:val="44"/>
          <w:lang w:val="en-US" w:eastAsia="zh-CN"/>
        </w:rPr>
        <w:t>关于</w:t>
      </w:r>
      <w:r>
        <w:rPr>
          <w:rFonts w:hint="eastAsia" w:ascii="文星标宋" w:hAnsi="文星标宋" w:eastAsia="文星标宋"/>
          <w:sz w:val="44"/>
          <w:szCs w:val="44"/>
          <w:lang w:val="en-US"/>
        </w:rPr>
        <w:t>对天津院创新研究中心项目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eastAsia="zh-CN"/>
        </w:rPr>
      </w:pPr>
      <w:r>
        <w:rPr>
          <w:rFonts w:hint="eastAsia" w:ascii="文星标宋" w:hAnsi="文星标宋" w:eastAsia="文星标宋"/>
          <w:sz w:val="44"/>
          <w:szCs w:val="44"/>
          <w:lang w:val="en-US" w:eastAsia="zh-CN"/>
        </w:rPr>
        <w:t>环境影响报告表的审批意见</w:t>
      </w:r>
    </w:p>
    <w:p>
      <w:pPr>
        <w:spacing w:line="240" w:lineRule="exact"/>
        <w:rPr>
          <w:rFonts w:hint="eastAsia" w:hAnsi="文星标宋" w:eastAsia="文星标宋"/>
          <w:sz w:val="44"/>
          <w:szCs w:val="44"/>
          <w:lang w:val="en-US" w:eastAsia="zh-CN"/>
        </w:rPr>
      </w:pPr>
      <w:r>
        <w:rPr>
          <w:rFonts w:eastAsia="文星标宋"/>
          <w:sz w:val="44"/>
          <w:szCs w:val="44"/>
          <w:lang w:val="en-US" w:eastAsia="zh-CN"/>
        </w:rPr>
        <mc:AlternateContent>
          <mc:Choice Requires="wps">
            <w:drawing>
              <wp:anchor distT="0" distB="0" distL="114300" distR="114300" simplePos="0" relativeHeight="251659264" behindDoc="0" locked="1" layoutInCell="1" allowOverlap="1">
                <wp:simplePos x="0" y="0"/>
                <wp:positionH relativeFrom="column">
                  <wp:posOffset>57150</wp:posOffset>
                </wp:positionH>
                <wp:positionV relativeFrom="page">
                  <wp:posOffset>1043940</wp:posOffset>
                </wp:positionV>
                <wp:extent cx="5600700" cy="735330"/>
                <wp:effectExtent l="0" t="0" r="0" b="0"/>
                <wp:wrapNone/>
                <wp:docPr id="7" name="文本框 20"/>
                <wp:cNvGraphicFramePr/>
                <a:graphic xmlns:a="http://schemas.openxmlformats.org/drawingml/2006/main">
                  <a:graphicData uri="http://schemas.microsoft.com/office/word/2010/wordprocessingShape">
                    <wps:wsp>
                      <wps:cNvSpPr txBox="1"/>
                      <wps:spPr bwMode="auto">
                        <a:xfrm>
                          <a:off x="0" y="0"/>
                          <a:ext cx="5600700" cy="735330"/>
                        </a:xfrm>
                        <a:prstGeom prst="rect">
                          <a:avLst/>
                        </a:prstGeom>
                        <a:noFill/>
                        <a:ln>
                          <a:noFill/>
                        </a:ln>
                      </wps:spPr>
                      <wps:txbx>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wps:txbx>
                      <wps:bodyPr rot="0" vert="horz" wrap="square" lIns="0" tIns="0" rIns="0" bIns="0" anchor="t" anchorCtr="0" upright="1">
                        <a:noAutofit/>
                      </wps:bodyPr>
                    </wps:wsp>
                  </a:graphicData>
                </a:graphic>
              </wp:anchor>
            </w:drawing>
          </mc:Choice>
          <mc:Fallback>
            <w:pict>
              <v:shape id="文本框 20" o:spid="_x0000_s1026" o:spt="202" type="#_x0000_t202" style="position:absolute;left:0pt;margin-left:4.5pt;margin-top:82.2pt;height:57.9pt;width:441pt;mso-position-vertical-relative:page;z-index:251659264;mso-width-relative:page;mso-height-relative:page;" filled="f" stroked="f" coordsize="21600,21600" o:gfxdata="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Gt3tgAAAAJAQAADwAAAAAAAAABACAAAAAiAAAAZHJzL2Rvd25yZXYueG1sUEsBAhQA&#10;FAAAAAgAh07iQGQzUqDyAQAA1gMAAA4AAAAAAAAAAQAgAAAAJwEAAGRycy9lMm9Eb2MueG1sUEsF&#10;BgAAAAAGAAYAWQEAAIsFAAAAAA==&#10;">
                <v:fill on="f" focussize="0,0"/>
                <v:stroke on="f"/>
                <v:imagedata o:title=""/>
                <o:lock v:ext="edit" aspectratio="f"/>
                <v:textbox inset="0mm,0mm,0mm,0mm">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v:textbox>
                <w10:anchorlock/>
              </v:shape>
            </w:pict>
          </mc:Fallback>
        </mc:AlternateContent>
      </w:r>
    </w:p>
    <w:p>
      <w:pPr>
        <w:rPr>
          <w:rFonts w:hint="eastAsia" w:ascii="文星仿宋" w:eastAsia="文星仿宋"/>
          <w:sz w:val="28"/>
          <w:szCs w:val="28"/>
        </w:rPr>
      </w:pPr>
      <w:r>
        <w:rPr>
          <w:rFonts w:hint="eastAsia" w:ascii="文星仿宋" w:eastAsia="文星仿宋"/>
          <w:sz w:val="28"/>
          <w:szCs w:val="28"/>
        </w:rPr>
        <w:t>中海油天津化工研究设计院有限公司：</w:t>
      </w:r>
    </w:p>
    <w:p>
      <w:pPr>
        <w:rPr>
          <w:rFonts w:hint="eastAsia" w:ascii="文星仿宋" w:eastAsia="文星仿宋"/>
          <w:sz w:val="28"/>
          <w:szCs w:val="28"/>
        </w:rPr>
      </w:pPr>
      <w:r>
        <w:rPr>
          <w:rFonts w:hint="eastAsia" w:ascii="文星仿宋" w:eastAsia="文星仿宋"/>
          <w:sz w:val="28"/>
          <w:szCs w:val="28"/>
        </w:rPr>
        <w:t xml:space="preserve">    你公司提供的《建设项目环境影响报告表》等材料收悉，经研究，现批复如下：</w:t>
      </w:r>
    </w:p>
    <w:p>
      <w:pPr>
        <w:ind w:firstLine="552" w:firstLineChars="200"/>
        <w:rPr>
          <w:rFonts w:hint="eastAsia" w:ascii="文星仿宋" w:eastAsia="文星仿宋"/>
          <w:sz w:val="28"/>
          <w:szCs w:val="28"/>
        </w:rPr>
      </w:pPr>
      <w:r>
        <w:rPr>
          <w:rFonts w:hint="eastAsia" w:ascii="文星仿宋" w:eastAsia="文星仿宋"/>
          <w:sz w:val="28"/>
          <w:szCs w:val="28"/>
        </w:rPr>
        <w:t>一、项目概况：</w:t>
      </w:r>
    </w:p>
    <w:p>
      <w:pPr>
        <w:ind w:firstLine="552" w:firstLineChars="200"/>
        <w:rPr>
          <w:rFonts w:hint="eastAsia" w:ascii="仿宋_GB2312" w:hAnsi="仿宋_GB2312" w:cs="仿宋_GB2312"/>
          <w:sz w:val="13"/>
          <w:szCs w:val="13"/>
          <w:highlight w:val="yellow"/>
        </w:rPr>
      </w:pPr>
      <w:r>
        <w:rPr>
          <w:rFonts w:hint="eastAsia" w:ascii="文星仿宋" w:eastAsia="文星仿宋"/>
          <w:sz w:val="28"/>
          <w:szCs w:val="28"/>
        </w:rPr>
        <w:t>中海油天津化工研究设计院有限公司拟投资</w:t>
      </w:r>
      <w:r>
        <w:rPr>
          <w:rFonts w:ascii="文星仿宋" w:eastAsia="文星仿宋"/>
          <w:sz w:val="28"/>
          <w:szCs w:val="28"/>
        </w:rPr>
        <w:t>29788.49</w:t>
      </w:r>
      <w:r>
        <w:rPr>
          <w:rFonts w:hint="eastAsia" w:ascii="文星仿宋" w:eastAsia="文星仿宋"/>
          <w:sz w:val="28"/>
          <w:szCs w:val="28"/>
        </w:rPr>
        <w:t>万元于红桥区光荣道与本溪路交口西北侧建设“天津院创新研究中心项目”，该项目建设内容包括主楼和裙房，总建筑面积23500</w:t>
      </w:r>
      <w:r>
        <w:rPr>
          <w:rFonts w:hint="eastAsia" w:ascii="文星仿宋" w:eastAsia="文星仿宋"/>
          <w:sz w:val="28"/>
          <w:szCs w:val="28"/>
          <w:lang w:val="en-US" w:eastAsia="zh-CN"/>
        </w:rPr>
        <w:t>平方米。</w:t>
      </w:r>
      <w:r>
        <w:rPr>
          <w:rFonts w:hint="eastAsia" w:ascii="文星仿宋" w:eastAsia="文星仿宋"/>
          <w:sz w:val="28"/>
          <w:szCs w:val="28"/>
        </w:rPr>
        <w:t>其中地上建筑面积约为20000</w:t>
      </w:r>
      <w:r>
        <w:rPr>
          <w:rFonts w:hint="eastAsia" w:ascii="文星仿宋" w:eastAsia="文星仿宋"/>
          <w:sz w:val="28"/>
          <w:szCs w:val="28"/>
          <w:lang w:val="en-US" w:eastAsia="zh-CN"/>
        </w:rPr>
        <w:t>平方米</w:t>
      </w:r>
      <w:r>
        <w:rPr>
          <w:rFonts w:hint="eastAsia" w:ascii="文星仿宋" w:eastAsia="文星仿宋"/>
          <w:sz w:val="28"/>
          <w:szCs w:val="28"/>
        </w:rPr>
        <w:t>，地下建筑面积3500</w:t>
      </w:r>
      <w:r>
        <w:rPr>
          <w:rFonts w:hint="eastAsia" w:ascii="文星仿宋" w:eastAsia="文星仿宋"/>
          <w:sz w:val="28"/>
          <w:szCs w:val="28"/>
          <w:lang w:val="en-US" w:eastAsia="zh-CN"/>
        </w:rPr>
        <w:t>平方米</w:t>
      </w:r>
      <w:r>
        <w:rPr>
          <w:rFonts w:hint="eastAsia" w:ascii="文星仿宋" w:eastAsia="文星仿宋"/>
          <w:sz w:val="28"/>
          <w:szCs w:val="28"/>
        </w:rPr>
        <w:t>。主楼与裙房，采用分缝设计，其中主楼为12层，建筑高度为55</w:t>
      </w:r>
      <w:r>
        <w:rPr>
          <w:rFonts w:hint="eastAsia" w:ascii="文星仿宋" w:eastAsia="文星仿宋"/>
          <w:sz w:val="28"/>
          <w:szCs w:val="28"/>
          <w:lang w:val="en-US" w:eastAsia="zh-CN"/>
        </w:rPr>
        <w:t>米</w:t>
      </w:r>
      <w:r>
        <w:rPr>
          <w:rFonts w:hint="eastAsia" w:ascii="文星仿宋" w:eastAsia="文星仿宋"/>
          <w:sz w:val="28"/>
          <w:szCs w:val="28"/>
        </w:rPr>
        <w:t>，首层层高5.1</w:t>
      </w:r>
      <w:r>
        <w:rPr>
          <w:rFonts w:hint="eastAsia" w:ascii="文星仿宋" w:eastAsia="文星仿宋"/>
          <w:sz w:val="28"/>
          <w:szCs w:val="28"/>
          <w:lang w:val="en-US" w:eastAsia="zh-CN"/>
        </w:rPr>
        <w:t>米</w:t>
      </w:r>
      <w:r>
        <w:rPr>
          <w:rFonts w:hint="eastAsia" w:ascii="文星仿宋" w:eastAsia="文星仿宋"/>
          <w:sz w:val="28"/>
          <w:szCs w:val="28"/>
        </w:rPr>
        <w:t>，其他层层高均为4.5</w:t>
      </w:r>
      <w:r>
        <w:rPr>
          <w:rFonts w:hint="eastAsia" w:ascii="文星仿宋" w:eastAsia="文星仿宋"/>
          <w:sz w:val="28"/>
          <w:szCs w:val="28"/>
          <w:lang w:val="en-US" w:eastAsia="zh-CN"/>
        </w:rPr>
        <w:t>米</w:t>
      </w:r>
      <w:r>
        <w:rPr>
          <w:rFonts w:hint="eastAsia" w:ascii="文星仿宋" w:eastAsia="文星仿宋"/>
          <w:sz w:val="28"/>
          <w:szCs w:val="28"/>
        </w:rPr>
        <w:t>，首层及三层主要为对外接待洽谈、成果展示以及会议、物业服务等，四层到十二层主要为各方向实验研究用（主要包括先进材料、催化技术、工业节水与废水资源化、膜与膜过程、炼油与化工助剂等技术创新研究）；裙房为三层，建筑高度14.5</w:t>
      </w:r>
      <w:r>
        <w:rPr>
          <w:rFonts w:hint="eastAsia" w:ascii="文星仿宋" w:eastAsia="文星仿宋"/>
          <w:sz w:val="28"/>
          <w:szCs w:val="28"/>
          <w:lang w:val="en-US" w:eastAsia="zh-CN"/>
        </w:rPr>
        <w:t>米</w:t>
      </w:r>
      <w:r>
        <w:rPr>
          <w:rFonts w:hint="eastAsia" w:ascii="文星仿宋" w:eastAsia="文星仿宋"/>
          <w:sz w:val="28"/>
          <w:szCs w:val="28"/>
        </w:rPr>
        <w:t>，首层层高5.1</w:t>
      </w:r>
      <w:r>
        <w:rPr>
          <w:rFonts w:hint="eastAsia" w:ascii="文星仿宋" w:eastAsia="文星仿宋"/>
          <w:sz w:val="28"/>
          <w:szCs w:val="28"/>
          <w:lang w:val="en-US" w:eastAsia="zh-CN"/>
        </w:rPr>
        <w:t>米</w:t>
      </w:r>
      <w:r>
        <w:rPr>
          <w:rFonts w:hint="eastAsia" w:ascii="文星仿宋" w:eastAsia="文星仿宋"/>
          <w:sz w:val="28"/>
          <w:szCs w:val="28"/>
        </w:rPr>
        <w:t>，其他层层高均为4.5</w:t>
      </w:r>
      <w:r>
        <w:rPr>
          <w:rFonts w:hint="eastAsia" w:ascii="文星仿宋" w:eastAsia="文星仿宋"/>
          <w:sz w:val="28"/>
          <w:szCs w:val="28"/>
          <w:lang w:val="en-US" w:eastAsia="zh-CN"/>
        </w:rPr>
        <w:t>米</w:t>
      </w:r>
      <w:r>
        <w:rPr>
          <w:rFonts w:hint="eastAsia" w:ascii="文星仿宋" w:eastAsia="文星仿宋"/>
          <w:sz w:val="28"/>
          <w:szCs w:val="28"/>
        </w:rPr>
        <w:t>，首层主要为接待、成果展示及综合服务，二层及三层主要功能为业务洽谈及会议接待。地下一层主要设置设备机房、设备泵房、消防水池、空调冷媒机房、纯水制备、车库等。该项目计划于2022年</w:t>
      </w:r>
      <w:r>
        <w:rPr>
          <w:rFonts w:ascii="文星仿宋" w:eastAsia="文星仿宋"/>
          <w:sz w:val="28"/>
          <w:szCs w:val="28"/>
        </w:rPr>
        <w:t>5</w:t>
      </w:r>
      <w:r>
        <w:rPr>
          <w:rFonts w:hint="eastAsia" w:ascii="文星仿宋" w:eastAsia="文星仿宋"/>
          <w:sz w:val="28"/>
          <w:szCs w:val="28"/>
        </w:rPr>
        <w:t>月开工建设，竣工时间为2024年</w:t>
      </w:r>
      <w:r>
        <w:rPr>
          <w:rFonts w:ascii="文星仿宋" w:eastAsia="文星仿宋"/>
          <w:sz w:val="28"/>
          <w:szCs w:val="28"/>
        </w:rPr>
        <w:t>12</w:t>
      </w:r>
      <w:r>
        <w:rPr>
          <w:rFonts w:hint="eastAsia" w:ascii="文星仿宋" w:eastAsia="文星仿宋"/>
          <w:sz w:val="28"/>
          <w:szCs w:val="28"/>
        </w:rPr>
        <w:t>月。</w:t>
      </w:r>
    </w:p>
    <w:p>
      <w:pPr>
        <w:ind w:firstLine="552" w:firstLineChars="200"/>
        <w:rPr>
          <w:rFonts w:hint="eastAsia" w:ascii="文星仿宋" w:eastAsia="文星仿宋"/>
          <w:sz w:val="28"/>
          <w:szCs w:val="28"/>
        </w:rPr>
      </w:pPr>
      <w:r>
        <w:rPr>
          <w:rFonts w:hint="eastAsia" w:ascii="文星仿宋" w:eastAsia="文星仿宋"/>
          <w:sz w:val="28"/>
          <w:szCs w:val="28"/>
        </w:rPr>
        <w:t>项目符合国家产业政策、地区规划等要求。2022年</w:t>
      </w:r>
      <w:r>
        <w:rPr>
          <w:rFonts w:ascii="文星仿宋" w:eastAsia="文星仿宋"/>
          <w:sz w:val="28"/>
          <w:szCs w:val="28"/>
        </w:rPr>
        <w:t>3</w:t>
      </w:r>
      <w:r>
        <w:rPr>
          <w:rFonts w:hint="eastAsia" w:ascii="文星仿宋" w:eastAsia="文星仿宋"/>
          <w:sz w:val="28"/>
          <w:szCs w:val="28"/>
        </w:rPr>
        <w:t>月</w:t>
      </w:r>
      <w:r>
        <w:rPr>
          <w:rFonts w:ascii="文星仿宋" w:eastAsia="文星仿宋"/>
          <w:sz w:val="28"/>
          <w:szCs w:val="28"/>
        </w:rPr>
        <w:t>28</w:t>
      </w:r>
      <w:r>
        <w:rPr>
          <w:rFonts w:hint="eastAsia" w:ascii="文星仿宋" w:eastAsia="文星仿宋"/>
          <w:sz w:val="28"/>
          <w:szCs w:val="28"/>
        </w:rPr>
        <w:t>日至2022年</w:t>
      </w:r>
      <w:r>
        <w:rPr>
          <w:rFonts w:ascii="文星仿宋" w:eastAsia="文星仿宋"/>
          <w:sz w:val="28"/>
          <w:szCs w:val="28"/>
        </w:rPr>
        <w:t>4</w:t>
      </w:r>
      <w:r>
        <w:rPr>
          <w:rFonts w:hint="eastAsia" w:ascii="文星仿宋" w:eastAsia="文星仿宋"/>
          <w:sz w:val="28"/>
          <w:szCs w:val="28"/>
        </w:rPr>
        <w:t>月1日，我办将该项目环境影响报告表全本在红桥政务网上进行了公示。在你公司确保项目环境影响报告表中提出的各项环保措施落实的前提下，我办同意你公司按照环境影响报告表中所列建设项目的性质、规模、地点、采取的环境保护措施进行项目建设。</w:t>
      </w:r>
    </w:p>
    <w:p>
      <w:pPr>
        <w:ind w:firstLine="552" w:firstLineChars="200"/>
        <w:rPr>
          <w:rFonts w:hint="eastAsia" w:ascii="文星仿宋" w:eastAsia="文星仿宋"/>
          <w:sz w:val="28"/>
          <w:szCs w:val="28"/>
        </w:rPr>
      </w:pPr>
      <w:r>
        <w:rPr>
          <w:rFonts w:hint="eastAsia" w:ascii="文星仿宋" w:eastAsia="文星仿宋"/>
          <w:sz w:val="28"/>
          <w:szCs w:val="28"/>
        </w:rPr>
        <w:t>二、项目建设和运营过程中应对照建设项目环境影响报告表，认真落实各项污染防治措施，并重点做好以下工作：</w:t>
      </w:r>
    </w:p>
    <w:p>
      <w:pPr>
        <w:ind w:firstLine="552" w:firstLineChars="200"/>
        <w:rPr>
          <w:rFonts w:hint="eastAsia" w:ascii="文星仿宋" w:eastAsia="文星仿宋"/>
          <w:sz w:val="28"/>
          <w:szCs w:val="28"/>
        </w:rPr>
      </w:pPr>
      <w:r>
        <w:rPr>
          <w:rFonts w:hint="eastAsia" w:ascii="文星仿宋" w:eastAsia="文星仿宋"/>
          <w:sz w:val="28"/>
          <w:szCs w:val="28"/>
        </w:rPr>
        <w:t>1.减轻施工期对大气环境质量的影响。严格落实《天津市大气污染防治条例》、《天津市重污染天气应急预案》、《天津市建设工程施工现场防治扬尘管理暂行办法》等文件的相关规定，施工工地周边围挡、出入车辆冲洗、渣土车辆密闭运输等措施应做到“六个百分之百”方可施工，重污染天气应急期间停止土石方施工，控制施工扬尘对周围环境的影响。加强汽车保养管理，严格执行国家制定的尾气排放标准，无尾气排放合格证车辆禁止入场。鼓励和支持使用优质燃料油，定期对施工机械、施工运输车辆排放废气进行检查。</w:t>
      </w:r>
    </w:p>
    <w:p>
      <w:pPr>
        <w:ind w:firstLine="552" w:firstLineChars="200"/>
        <w:rPr>
          <w:rFonts w:hint="eastAsia" w:ascii="文星仿宋" w:eastAsia="文星仿宋"/>
          <w:sz w:val="28"/>
          <w:szCs w:val="28"/>
        </w:rPr>
      </w:pPr>
      <w:r>
        <w:rPr>
          <w:rFonts w:hint="eastAsia" w:ascii="文星仿宋" w:eastAsia="文星仿宋"/>
          <w:sz w:val="28"/>
          <w:szCs w:val="28"/>
        </w:rPr>
        <w:t>2.施工现场产生的废水经收集后采用沉淀处理后重复使用，回用于车辆冲洗和施工场地、材料堆场的洒水抑尘；施工现场应当设置良好的排水收集系统和废水回收净化利用设施。</w:t>
      </w:r>
    </w:p>
    <w:p>
      <w:pPr>
        <w:ind w:firstLine="552" w:firstLineChars="200"/>
        <w:rPr>
          <w:rFonts w:hint="eastAsia" w:ascii="文星仿宋" w:eastAsia="文星仿宋"/>
          <w:sz w:val="28"/>
          <w:szCs w:val="28"/>
        </w:rPr>
      </w:pPr>
      <w:r>
        <w:rPr>
          <w:rFonts w:hint="eastAsia" w:ascii="文星仿宋" w:eastAsia="文星仿宋"/>
          <w:sz w:val="28"/>
          <w:szCs w:val="28"/>
        </w:rPr>
        <w:t>3.施工现场应采取合理布局，合理安排施工作业时间，选用低噪声和振动的施工机械设备等有效措施，确保施工期噪声对周围环境影响降到最低；现场的固定设备尽量设置在远离环境保护目标的一侧，并安放在设备房或操作间内，不可露天作业，并采取隔声吸声、消声、减振等降噪措施，尽可能减小该项目施工噪声对周围环境敏感目标的影响。</w:t>
      </w:r>
    </w:p>
    <w:p>
      <w:pPr>
        <w:ind w:firstLine="552" w:firstLineChars="200"/>
        <w:rPr>
          <w:rFonts w:hint="eastAsia" w:ascii="文星仿宋" w:eastAsia="文星仿宋"/>
          <w:sz w:val="28"/>
          <w:szCs w:val="28"/>
        </w:rPr>
      </w:pPr>
      <w:r>
        <w:rPr>
          <w:rFonts w:hint="eastAsia" w:ascii="文星仿宋" w:eastAsia="文星仿宋"/>
          <w:sz w:val="28"/>
          <w:szCs w:val="28"/>
        </w:rPr>
        <w:t>4.施工期固体废物主要是施工人员的生活垃圾、建筑施工活动产生的建筑垃圾，主要包括木材下脚料、水泥土石弃料和金属等其它建材弃料等。在施工现场应有生活垃圾和建筑垃圾的收集存放点，统一收集，及时清运，妥善处置。其中，施工过程中产生的建筑垃圾属于一般固体废物，金属、木材等废料可做为再生资源送有关单位回收再利用，不可再利用的水泥土石废料等建筑垃圾纳入城市统一建筑垃圾处置管理体系。施工人员产生的生活垃圾交由环卫部门处理。</w:t>
      </w:r>
    </w:p>
    <w:p>
      <w:pPr>
        <w:ind w:firstLine="552" w:firstLineChars="200"/>
        <w:rPr>
          <w:rFonts w:hint="eastAsia" w:ascii="文星仿宋" w:eastAsia="文星仿宋"/>
          <w:sz w:val="28"/>
          <w:szCs w:val="28"/>
        </w:rPr>
      </w:pPr>
      <w:r>
        <w:rPr>
          <w:rFonts w:hint="eastAsia" w:ascii="文星仿宋" w:eastAsia="文星仿宋"/>
          <w:sz w:val="28"/>
          <w:szCs w:val="28"/>
        </w:rPr>
        <w:t>5.该项目运营期废水主要为纯水制备废水、实验水浴冷却废水、喷淋废水及生活污水。项目大楼设双排水系统，实验废水、纯水制备废水、冷却废水、喷淋废水由管道收集后汇入实验废水缓冲池，经污水泵提升后与生活污水汇总排入天津院现有污水处理站处理达到《污水综合排放标准》（DB12/356 -2018）三级及咸阳路污水处理厂收水水质要求后排入咸阳路污水处理厂处理。固体废物主要为废试剂、实验废液、废油、废催化剂、废试剂瓶、废油田水、污水处理站污泥、废灯管、实验废样、废水处理剂、废过滤介质、废弃研发产物、废气治理设施产生的废活性炭和废填料及生活垃圾。除生活垃圾外，其他固体废物均为危险废物；生活垃圾交由环卫部门处理。</w:t>
      </w:r>
    </w:p>
    <w:p>
      <w:pPr>
        <w:ind w:firstLine="552" w:firstLineChars="200"/>
        <w:rPr>
          <w:rFonts w:hint="eastAsia" w:ascii="文星仿宋" w:eastAsia="文星仿宋"/>
          <w:sz w:val="28"/>
          <w:szCs w:val="28"/>
        </w:rPr>
      </w:pPr>
      <w:r>
        <w:rPr>
          <w:rFonts w:hint="eastAsia" w:ascii="文星仿宋" w:eastAsia="文星仿宋"/>
          <w:sz w:val="28"/>
          <w:szCs w:val="28"/>
        </w:rPr>
        <w:t>6.建设单位须严格按照相关设计要求，设计时选用低噪声设备，冷却塔、风机等大型设备安装基础减振，并在各设备接驳风、水管道位置，采用避震软管连接，引风机加装消声器，制冷机房等墙面做吸音处理，屋顶露天设备设置隔声罩。综上，项目设备采用基础减振、距离衰减、建筑隔声、隔声罩等降噪措施。</w:t>
      </w:r>
    </w:p>
    <w:p>
      <w:pPr>
        <w:ind w:firstLine="552" w:firstLineChars="200"/>
        <w:rPr>
          <w:rFonts w:hint="eastAsia" w:ascii="文星仿宋" w:eastAsia="文星仿宋"/>
          <w:sz w:val="28"/>
          <w:szCs w:val="28"/>
        </w:rPr>
      </w:pPr>
      <w:r>
        <w:rPr>
          <w:rFonts w:hint="eastAsia" w:ascii="文星仿宋" w:eastAsia="文星仿宋"/>
          <w:sz w:val="28"/>
          <w:szCs w:val="28"/>
        </w:rPr>
        <w:t>7.在项目运营期间，建设单位应严格按照《天津院创新研究中心项目大气环境影响专项评价》中关于废气的收集和治理措施等逐一落实。</w:t>
      </w:r>
    </w:p>
    <w:p>
      <w:pPr>
        <w:ind w:firstLine="552" w:firstLineChars="200"/>
        <w:rPr>
          <w:rFonts w:hint="eastAsia" w:ascii="文星仿宋" w:eastAsia="文星仿宋"/>
          <w:sz w:val="28"/>
          <w:szCs w:val="28"/>
          <w:lang w:val="en-GB"/>
        </w:rPr>
      </w:pPr>
      <w:r>
        <w:rPr>
          <w:rFonts w:hint="eastAsia" w:ascii="文星仿宋" w:eastAsia="文星仿宋"/>
          <w:sz w:val="28"/>
          <w:szCs w:val="28"/>
          <w:lang w:val="en-GB"/>
        </w:rPr>
        <w:t>8.加强与红桥区相关部门的联系，做好与居民的沟通，妥善解决可能出现的问题。</w:t>
      </w:r>
    </w:p>
    <w:p>
      <w:pPr>
        <w:ind w:firstLine="552" w:firstLineChars="200"/>
        <w:rPr>
          <w:rFonts w:hint="eastAsia" w:ascii="文星仿宋" w:eastAsia="文星仿宋"/>
          <w:sz w:val="28"/>
          <w:szCs w:val="28"/>
          <w:lang w:val="en-GB"/>
        </w:rPr>
      </w:pPr>
      <w:r>
        <w:rPr>
          <w:rFonts w:hint="eastAsia" w:ascii="文星仿宋" w:eastAsia="文星仿宋"/>
          <w:sz w:val="28"/>
          <w:szCs w:val="28"/>
          <w:lang w:val="en-GB"/>
        </w:rPr>
        <w:t>三、项目需要配套建设的环境保护设施，必须与主体工程同时设计、同时施工、同时投产使用。</w:t>
      </w:r>
    </w:p>
    <w:p>
      <w:pPr>
        <w:ind w:firstLine="551"/>
        <w:rPr>
          <w:rFonts w:hint="eastAsia" w:ascii="文星仿宋" w:eastAsia="文星仿宋"/>
          <w:sz w:val="28"/>
          <w:szCs w:val="28"/>
          <w:lang w:val="en-GB"/>
        </w:rPr>
      </w:pPr>
      <w:r>
        <w:rPr>
          <w:rFonts w:hint="eastAsia" w:ascii="文星仿宋" w:eastAsia="文星仿宋"/>
          <w:sz w:val="28"/>
          <w:szCs w:val="28"/>
          <w:lang w:val="en-GB"/>
        </w:rPr>
        <w:t>四、加强施工管理，强化责任意识，建立健全相应的环境管理制度，制定事故应急预案，落实环境风险防范措施，确保项目施工期和运营期的环境安全。加强公众沟通和科普宣传，及时解决公众提出的合理环境诉求，及时公开项目建设与环境保护信息，主动接受社会监督。</w:t>
      </w:r>
    </w:p>
    <w:p>
      <w:pPr>
        <w:ind w:firstLine="551"/>
        <w:rPr>
          <w:rFonts w:hint="eastAsia" w:ascii="文星仿宋" w:eastAsia="文星仿宋"/>
          <w:sz w:val="28"/>
          <w:szCs w:val="28"/>
          <w:lang w:val="en-GB"/>
        </w:rPr>
      </w:pPr>
      <w:r>
        <w:rPr>
          <w:rFonts w:hint="eastAsia" w:ascii="文星仿宋" w:eastAsia="文星仿宋"/>
          <w:sz w:val="28"/>
          <w:szCs w:val="28"/>
          <w:lang w:val="en-GB"/>
        </w:rPr>
        <w:t>五、该项目的环境影响评价文件经批准后，如项目的性质、规模、地点、生产工艺或者防治污染、防止生态破坏的措施发生重大变动的，建设单位应当在开工建设之前重新</w:t>
      </w:r>
      <w:bookmarkStart w:id="0" w:name="_GoBack"/>
      <w:bookmarkEnd w:id="0"/>
      <w:r>
        <w:rPr>
          <w:rFonts w:hint="eastAsia" w:ascii="文星仿宋" w:eastAsia="文星仿宋"/>
          <w:sz w:val="28"/>
          <w:szCs w:val="28"/>
          <w:lang w:val="en-GB"/>
        </w:rPr>
        <w:t>报批本项目的环境影响评价文件。项目环境影响评价文件自批准之日起超过五年，方决定该项目开工建设的，其环境影响评价文件应当报我办重新审核。</w:t>
      </w:r>
    </w:p>
    <w:p>
      <w:pPr>
        <w:ind w:firstLine="551"/>
        <w:rPr>
          <w:rFonts w:hint="eastAsia" w:ascii="文星仿宋" w:eastAsia="文星仿宋"/>
          <w:sz w:val="28"/>
          <w:szCs w:val="28"/>
          <w:lang w:val="en-GB"/>
        </w:rPr>
      </w:pPr>
      <w:r>
        <w:rPr>
          <w:rFonts w:hint="eastAsia" w:ascii="文星仿宋" w:eastAsia="文星仿宋"/>
          <w:sz w:val="28"/>
          <w:szCs w:val="28"/>
          <w:lang w:val="en-GB"/>
        </w:rPr>
        <w:t>六、项目竣工后，你公司应当按照国务院生态环境主管部门规定的标准和程序开展竣工环境保护验收工作，经验收合格，项目方可投入生产。</w:t>
      </w:r>
    </w:p>
    <w:p>
      <w:pPr>
        <w:ind w:firstLine="551"/>
        <w:rPr>
          <w:rFonts w:hint="eastAsia" w:ascii="文星仿宋" w:eastAsia="文星仿宋"/>
          <w:sz w:val="28"/>
          <w:szCs w:val="28"/>
          <w:lang w:val="en-GB"/>
        </w:rPr>
      </w:pPr>
      <w:r>
        <w:rPr>
          <w:rFonts w:hint="eastAsia" w:ascii="文星仿宋" w:eastAsia="文星仿宋"/>
          <w:sz w:val="28"/>
          <w:szCs w:val="28"/>
          <w:lang w:val="en-GB"/>
        </w:rPr>
        <w:t>七、执行主要环境标准：</w:t>
      </w:r>
    </w:p>
    <w:p>
      <w:pPr>
        <w:ind w:firstLine="551"/>
        <w:rPr>
          <w:rFonts w:hint="eastAsia" w:ascii="文星仿宋" w:eastAsia="文星仿宋"/>
          <w:sz w:val="28"/>
          <w:szCs w:val="28"/>
          <w:lang w:val="en-GB"/>
        </w:rPr>
      </w:pPr>
      <w:r>
        <w:rPr>
          <w:rFonts w:hint="eastAsia" w:ascii="文星仿宋" w:eastAsia="文星仿宋"/>
          <w:sz w:val="28"/>
          <w:szCs w:val="28"/>
          <w:lang w:val="en-GB"/>
        </w:rPr>
        <w:t>1.《环境空气质量标准》GB3095-2012及修改单中二级标准</w:t>
      </w:r>
    </w:p>
    <w:p>
      <w:pPr>
        <w:ind w:firstLine="551"/>
        <w:rPr>
          <w:rFonts w:hint="eastAsia" w:ascii="文星仿宋" w:eastAsia="文星仿宋"/>
          <w:sz w:val="28"/>
          <w:szCs w:val="28"/>
          <w:lang w:val="en-GB"/>
        </w:rPr>
      </w:pPr>
      <w:r>
        <w:rPr>
          <w:rFonts w:hint="eastAsia" w:ascii="文星仿宋" w:eastAsia="文星仿宋"/>
          <w:sz w:val="28"/>
          <w:szCs w:val="28"/>
          <w:lang w:val="en-GB"/>
        </w:rPr>
        <w:t>2.《工业企业挥发性有机物排放控制标准》DB12/524-2020</w:t>
      </w:r>
    </w:p>
    <w:p>
      <w:pPr>
        <w:ind w:firstLine="551"/>
        <w:rPr>
          <w:rFonts w:hint="eastAsia" w:ascii="文星仿宋" w:eastAsia="文星仿宋"/>
          <w:sz w:val="28"/>
          <w:szCs w:val="28"/>
          <w:lang w:val="en-GB"/>
        </w:rPr>
      </w:pPr>
      <w:r>
        <w:rPr>
          <w:rFonts w:hint="eastAsia" w:ascii="文星仿宋" w:eastAsia="文星仿宋"/>
          <w:sz w:val="28"/>
          <w:szCs w:val="28"/>
          <w:lang w:val="en-GB"/>
        </w:rPr>
        <w:t>3.《大气污染物综合排放标准》GB16297-1996</w:t>
      </w:r>
    </w:p>
    <w:p>
      <w:pPr>
        <w:ind w:firstLine="551"/>
        <w:rPr>
          <w:rFonts w:hint="eastAsia" w:ascii="文星仿宋" w:eastAsia="文星仿宋"/>
          <w:sz w:val="28"/>
          <w:szCs w:val="28"/>
          <w:lang w:val="en-GB"/>
        </w:rPr>
      </w:pPr>
      <w:r>
        <w:rPr>
          <w:rFonts w:hint="eastAsia" w:ascii="文星仿宋" w:eastAsia="文星仿宋"/>
          <w:sz w:val="28"/>
          <w:szCs w:val="28"/>
          <w:lang w:val="en-GB"/>
        </w:rPr>
        <w:t>4.《恶臭污染物排放标准》DB12/059-2018</w:t>
      </w:r>
    </w:p>
    <w:p>
      <w:pPr>
        <w:ind w:firstLine="551"/>
        <w:rPr>
          <w:rFonts w:hint="eastAsia" w:ascii="文星仿宋" w:eastAsia="文星仿宋"/>
          <w:sz w:val="28"/>
          <w:szCs w:val="28"/>
          <w:lang w:val="en-GB"/>
        </w:rPr>
      </w:pPr>
      <w:r>
        <w:rPr>
          <w:rFonts w:hint="eastAsia" w:ascii="文星仿宋" w:eastAsia="文星仿宋"/>
          <w:sz w:val="28"/>
          <w:szCs w:val="28"/>
          <w:lang w:val="en-GB"/>
        </w:rPr>
        <w:t>5.《声环境质量标准》GB3096-2008（2类、4a类）</w:t>
      </w:r>
    </w:p>
    <w:p>
      <w:pPr>
        <w:ind w:firstLine="551"/>
        <w:rPr>
          <w:rFonts w:hint="eastAsia" w:ascii="文星仿宋" w:eastAsia="文星仿宋"/>
          <w:sz w:val="28"/>
          <w:szCs w:val="28"/>
          <w:lang w:val="en-GB"/>
        </w:rPr>
      </w:pPr>
      <w:r>
        <w:rPr>
          <w:rFonts w:hint="eastAsia" w:ascii="文星仿宋" w:eastAsia="文星仿宋"/>
          <w:sz w:val="28"/>
          <w:szCs w:val="28"/>
          <w:lang w:val="en-GB"/>
        </w:rPr>
        <w:t>6.《污水综合排放标准》DB12/356-2018（三级）</w:t>
      </w:r>
    </w:p>
    <w:p>
      <w:pPr>
        <w:ind w:firstLine="551"/>
        <w:rPr>
          <w:rFonts w:hint="eastAsia" w:ascii="文星仿宋" w:eastAsia="文星仿宋"/>
          <w:sz w:val="28"/>
          <w:szCs w:val="28"/>
          <w:lang w:val="en-GB"/>
        </w:rPr>
      </w:pPr>
      <w:r>
        <w:rPr>
          <w:rFonts w:hint="eastAsia" w:ascii="文星仿宋" w:eastAsia="文星仿宋"/>
          <w:sz w:val="28"/>
          <w:szCs w:val="28"/>
          <w:lang w:val="en-GB"/>
        </w:rPr>
        <w:t>7.《建筑施工场界环境噪声排放标准》GB12523-2011</w:t>
      </w:r>
    </w:p>
    <w:p>
      <w:pPr>
        <w:ind w:firstLine="551"/>
        <w:rPr>
          <w:rFonts w:hint="eastAsia" w:ascii="文星仿宋" w:eastAsia="文星仿宋"/>
          <w:sz w:val="28"/>
          <w:szCs w:val="28"/>
          <w:lang w:val="en-GB"/>
        </w:rPr>
      </w:pPr>
      <w:r>
        <w:rPr>
          <w:rFonts w:hint="eastAsia" w:ascii="文星仿宋" w:eastAsia="文星仿宋"/>
          <w:sz w:val="28"/>
          <w:szCs w:val="28"/>
          <w:lang w:val="en-GB"/>
        </w:rPr>
        <w:t>8.《工业企业厂界环境噪声排放标准》GB12348-2008（2类、4类）</w:t>
      </w:r>
    </w:p>
    <w:p>
      <w:pPr>
        <w:ind w:firstLine="551"/>
        <w:rPr>
          <w:rFonts w:hint="eastAsia" w:ascii="文星仿宋" w:eastAsia="文星仿宋"/>
          <w:sz w:val="28"/>
          <w:szCs w:val="28"/>
          <w:lang w:val="en-GB"/>
        </w:rPr>
      </w:pPr>
      <w:r>
        <w:rPr>
          <w:rFonts w:hint="eastAsia" w:ascii="文星仿宋" w:eastAsia="文星仿宋"/>
          <w:sz w:val="28"/>
          <w:szCs w:val="28"/>
          <w:lang w:val="en-GB"/>
        </w:rPr>
        <w:t>9.《结构传播固定设备室内噪声》HJ707-2014</w:t>
      </w:r>
    </w:p>
    <w:p>
      <w:pPr>
        <w:ind w:firstLine="551"/>
        <w:rPr>
          <w:rFonts w:hint="eastAsia" w:ascii="文星仿宋" w:eastAsia="文星仿宋"/>
          <w:sz w:val="28"/>
          <w:szCs w:val="28"/>
          <w:lang w:val="en-GB"/>
        </w:rPr>
      </w:pPr>
      <w:r>
        <w:rPr>
          <w:rFonts w:hint="eastAsia" w:ascii="文星仿宋" w:eastAsia="文星仿宋"/>
          <w:sz w:val="28"/>
          <w:szCs w:val="28"/>
          <w:lang w:val="en-GB"/>
        </w:rPr>
        <w:t>10.《危险废物贮存污染控制标准》GB18597-2001及修改单</w:t>
      </w:r>
    </w:p>
    <w:p>
      <w:pPr>
        <w:ind w:firstLine="551"/>
        <w:rPr>
          <w:rFonts w:hint="eastAsia" w:ascii="文星仿宋" w:eastAsia="文星仿宋"/>
          <w:sz w:val="28"/>
          <w:szCs w:val="28"/>
          <w:lang w:val="en-GB"/>
        </w:rPr>
      </w:pPr>
      <w:r>
        <w:rPr>
          <w:rFonts w:hint="eastAsia" w:ascii="文星仿宋" w:eastAsia="文星仿宋"/>
          <w:sz w:val="28"/>
          <w:szCs w:val="28"/>
          <w:lang w:val="en-GB"/>
        </w:rPr>
        <w:t>11.《危险废物收集 贮存 运输技术规范》HJ2025-2012</w:t>
      </w:r>
    </w:p>
    <w:p>
      <w:pPr>
        <w:ind w:firstLine="551"/>
        <w:rPr>
          <w:rFonts w:hint="eastAsia" w:ascii="文星仿宋" w:eastAsia="文星仿宋"/>
          <w:sz w:val="28"/>
          <w:szCs w:val="28"/>
          <w:lang w:val="en-GB"/>
        </w:rPr>
      </w:pPr>
      <w:r>
        <w:rPr>
          <w:rFonts w:hint="eastAsia" w:ascii="文星仿宋" w:eastAsia="文星仿宋"/>
          <w:sz w:val="28"/>
          <w:szCs w:val="28"/>
          <w:lang w:val="en-GB"/>
        </w:rPr>
        <w:t>12.《危险废物转移管理办法》</w:t>
      </w:r>
    </w:p>
    <w:p>
      <w:pPr>
        <w:ind w:firstLine="551"/>
        <w:rPr>
          <w:rFonts w:hint="eastAsia" w:ascii="文星仿宋" w:eastAsia="文星仿宋"/>
          <w:sz w:val="28"/>
          <w:szCs w:val="28"/>
          <w:lang w:val="en-GB"/>
        </w:rPr>
      </w:pPr>
      <w:r>
        <w:rPr>
          <w:rFonts w:hint="eastAsia" w:ascii="文星仿宋" w:eastAsia="文星仿宋"/>
          <w:sz w:val="28"/>
          <w:szCs w:val="28"/>
          <w:lang w:val="en-GB"/>
        </w:rPr>
        <w:t>13.《天津市生活垃圾管理条例》</w:t>
      </w:r>
    </w:p>
    <w:p>
      <w:pPr>
        <w:rPr>
          <w:rFonts w:hint="eastAsia" w:ascii="文星仿宋" w:eastAsia="文星仿宋"/>
          <w:sz w:val="28"/>
          <w:szCs w:val="28"/>
        </w:rPr>
      </w:pPr>
    </w:p>
    <w:p>
      <w:pPr>
        <w:rPr>
          <w:rFonts w:hint="eastAsia" w:ascii="文星仿宋" w:eastAsia="文星仿宋"/>
          <w:sz w:val="28"/>
          <w:szCs w:val="28"/>
        </w:rPr>
      </w:pPr>
      <w:r>
        <w:rPr>
          <w:rFonts w:hint="eastAsia" w:ascii="文星仿宋" w:eastAsia="文星仿宋"/>
          <w:sz w:val="28"/>
          <w:szCs w:val="28"/>
        </w:rPr>
        <w:t xml:space="preserve">                                        2022年</w:t>
      </w:r>
      <w:r>
        <w:rPr>
          <w:rFonts w:ascii="文星仿宋" w:eastAsia="文星仿宋"/>
          <w:sz w:val="28"/>
          <w:szCs w:val="28"/>
        </w:rPr>
        <w:t>4</w:t>
      </w:r>
      <w:r>
        <w:rPr>
          <w:rFonts w:hint="eastAsia" w:ascii="文星仿宋" w:eastAsia="文星仿宋"/>
          <w:sz w:val="28"/>
          <w:szCs w:val="28"/>
        </w:rPr>
        <w:t>月</w:t>
      </w:r>
      <w:r>
        <w:rPr>
          <w:rFonts w:hint="eastAsia" w:ascii="文星仿宋" w:eastAsia="文星仿宋"/>
          <w:sz w:val="28"/>
          <w:szCs w:val="28"/>
          <w:lang w:val="en-US" w:eastAsia="zh-CN"/>
        </w:rPr>
        <w:t>14</w:t>
      </w:r>
      <w:r>
        <w:rPr>
          <w:rFonts w:hint="eastAsia" w:ascii="文星仿宋" w:eastAsia="文星仿宋"/>
          <w:sz w:val="28"/>
          <w:szCs w:val="28"/>
        </w:rPr>
        <w:t>日</w:t>
      </w:r>
    </w:p>
    <w:sectPr>
      <w:footerReference r:id="rId3" w:type="default"/>
      <w:footerReference r:id="rId4" w:type="even"/>
      <w:pgSz w:w="11906" w:h="16838"/>
      <w:pgMar w:top="1418" w:right="1474" w:bottom="1474" w:left="1418"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20B0604020202020204"/>
    <w:charset w:val="86"/>
    <w:family w:val="script"/>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7"/>
        <w:rFonts w:ascii="宋体"/>
        <w:b/>
        <w:bCs/>
        <w:sz w:val="28"/>
      </w:rPr>
    </w:pPr>
    <w:r>
      <w:rPr>
        <w:rStyle w:val="17"/>
        <w:rFonts w:hint="eastAsia"/>
        <w:sz w:val="28"/>
      </w:rPr>
      <w:t>—</w:t>
    </w:r>
    <w:r>
      <w:rPr>
        <w:rStyle w:val="17"/>
        <w:sz w:val="28"/>
      </w:rPr>
      <w:t xml:space="preserve"> </w:t>
    </w:r>
    <w:r>
      <w:rPr>
        <w:sz w:val="28"/>
      </w:rPr>
      <w:fldChar w:fldCharType="begin"/>
    </w:r>
    <w:r>
      <w:rPr>
        <w:rStyle w:val="17"/>
        <w:sz w:val="28"/>
      </w:rPr>
      <w:instrText xml:space="preserve">PAGE  </w:instrText>
    </w:r>
    <w:r>
      <w:rPr>
        <w:sz w:val="28"/>
      </w:rPr>
      <w:fldChar w:fldCharType="separate"/>
    </w:r>
    <w:r>
      <w:rPr>
        <w:rStyle w:val="17"/>
        <w:sz w:val="28"/>
        <w:lang w:val="en-US" w:eastAsia="zh-CN"/>
      </w:rPr>
      <w:t>4</w:t>
    </w:r>
    <w:r>
      <w:rPr>
        <w:sz w:val="28"/>
      </w:rPr>
      <w:fldChar w:fldCharType="end"/>
    </w:r>
    <w:r>
      <w:rPr>
        <w:rStyle w:val="17"/>
        <w:sz w:val="28"/>
      </w:rPr>
      <w:t xml:space="preserve"> </w:t>
    </w:r>
    <w:r>
      <w:rPr>
        <w:rStyle w:val="17"/>
        <w:rFonts w:hint="eastAsia"/>
        <w:sz w:val="28"/>
      </w:rPr>
      <w:t>—</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lang w:val="en-US" w:eastAsia="zh-CN"/>
      </w:rPr>
      <w:t>1</w:t>
    </w:r>
    <w: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34"/>
    <w:rsid w:val="000132CB"/>
    <w:rsid w:val="00022CF0"/>
    <w:rsid w:val="000251DE"/>
    <w:rsid w:val="0003153B"/>
    <w:rsid w:val="000522BC"/>
    <w:rsid w:val="000549E2"/>
    <w:rsid w:val="00071B0C"/>
    <w:rsid w:val="0008201A"/>
    <w:rsid w:val="000919C5"/>
    <w:rsid w:val="00092E28"/>
    <w:rsid w:val="000A2746"/>
    <w:rsid w:val="000A551A"/>
    <w:rsid w:val="000A6DA5"/>
    <w:rsid w:val="000B231B"/>
    <w:rsid w:val="000B3E21"/>
    <w:rsid w:val="000B67D8"/>
    <w:rsid w:val="000C05F7"/>
    <w:rsid w:val="000C21DD"/>
    <w:rsid w:val="000C3791"/>
    <w:rsid w:val="000C42E8"/>
    <w:rsid w:val="000E2D63"/>
    <w:rsid w:val="000F6607"/>
    <w:rsid w:val="001042B8"/>
    <w:rsid w:val="00104E6C"/>
    <w:rsid w:val="0010538B"/>
    <w:rsid w:val="001057D8"/>
    <w:rsid w:val="001138AC"/>
    <w:rsid w:val="0012265C"/>
    <w:rsid w:val="001245D3"/>
    <w:rsid w:val="00125E96"/>
    <w:rsid w:val="001332E2"/>
    <w:rsid w:val="00135B72"/>
    <w:rsid w:val="00135FD4"/>
    <w:rsid w:val="00141409"/>
    <w:rsid w:val="0014243F"/>
    <w:rsid w:val="0014615D"/>
    <w:rsid w:val="00150BBE"/>
    <w:rsid w:val="001556E8"/>
    <w:rsid w:val="001648C3"/>
    <w:rsid w:val="00164CD5"/>
    <w:rsid w:val="001658ED"/>
    <w:rsid w:val="00165C29"/>
    <w:rsid w:val="00172FB5"/>
    <w:rsid w:val="001805D9"/>
    <w:rsid w:val="001818DB"/>
    <w:rsid w:val="00187A06"/>
    <w:rsid w:val="001A4352"/>
    <w:rsid w:val="001B0ABD"/>
    <w:rsid w:val="001B3407"/>
    <w:rsid w:val="001C54A5"/>
    <w:rsid w:val="001D3170"/>
    <w:rsid w:val="001E2B53"/>
    <w:rsid w:val="001E4C0F"/>
    <w:rsid w:val="001F154C"/>
    <w:rsid w:val="002003A0"/>
    <w:rsid w:val="0020099D"/>
    <w:rsid w:val="00201584"/>
    <w:rsid w:val="0020171E"/>
    <w:rsid w:val="00205B5C"/>
    <w:rsid w:val="00211B8E"/>
    <w:rsid w:val="002346CB"/>
    <w:rsid w:val="0024172C"/>
    <w:rsid w:val="00247F3C"/>
    <w:rsid w:val="00251C8E"/>
    <w:rsid w:val="00255C25"/>
    <w:rsid w:val="00263B30"/>
    <w:rsid w:val="00274C35"/>
    <w:rsid w:val="00281ED6"/>
    <w:rsid w:val="002A03D3"/>
    <w:rsid w:val="002B29FA"/>
    <w:rsid w:val="002B5EE9"/>
    <w:rsid w:val="002B7340"/>
    <w:rsid w:val="002B7FDA"/>
    <w:rsid w:val="002C18B9"/>
    <w:rsid w:val="002D4E6D"/>
    <w:rsid w:val="002D5521"/>
    <w:rsid w:val="002D65CE"/>
    <w:rsid w:val="0030550C"/>
    <w:rsid w:val="003167A9"/>
    <w:rsid w:val="00322315"/>
    <w:rsid w:val="003358A3"/>
    <w:rsid w:val="0034239F"/>
    <w:rsid w:val="00344F9C"/>
    <w:rsid w:val="0035401D"/>
    <w:rsid w:val="00362B4F"/>
    <w:rsid w:val="00363166"/>
    <w:rsid w:val="00367B94"/>
    <w:rsid w:val="003709AD"/>
    <w:rsid w:val="00383E3B"/>
    <w:rsid w:val="00386C35"/>
    <w:rsid w:val="00392D9D"/>
    <w:rsid w:val="003954EA"/>
    <w:rsid w:val="003A160D"/>
    <w:rsid w:val="003B11E8"/>
    <w:rsid w:val="003B359B"/>
    <w:rsid w:val="003B45C0"/>
    <w:rsid w:val="003B50D5"/>
    <w:rsid w:val="003C1677"/>
    <w:rsid w:val="003C320A"/>
    <w:rsid w:val="003C6BF4"/>
    <w:rsid w:val="003C7B16"/>
    <w:rsid w:val="003E26B4"/>
    <w:rsid w:val="004107CB"/>
    <w:rsid w:val="00422FC3"/>
    <w:rsid w:val="004260AF"/>
    <w:rsid w:val="00427B2F"/>
    <w:rsid w:val="0043109F"/>
    <w:rsid w:val="00433072"/>
    <w:rsid w:val="004515C9"/>
    <w:rsid w:val="0045309F"/>
    <w:rsid w:val="004610ED"/>
    <w:rsid w:val="00474D4D"/>
    <w:rsid w:val="00480327"/>
    <w:rsid w:val="00490A10"/>
    <w:rsid w:val="00492005"/>
    <w:rsid w:val="00497544"/>
    <w:rsid w:val="004A4FAC"/>
    <w:rsid w:val="004C0666"/>
    <w:rsid w:val="004C1B07"/>
    <w:rsid w:val="004C2B9E"/>
    <w:rsid w:val="004C3108"/>
    <w:rsid w:val="004C584D"/>
    <w:rsid w:val="004D3FE3"/>
    <w:rsid w:val="004D6EF5"/>
    <w:rsid w:val="004D737D"/>
    <w:rsid w:val="004E0B13"/>
    <w:rsid w:val="00500B34"/>
    <w:rsid w:val="00501719"/>
    <w:rsid w:val="00503514"/>
    <w:rsid w:val="005110C0"/>
    <w:rsid w:val="005228A7"/>
    <w:rsid w:val="00532023"/>
    <w:rsid w:val="00532FA6"/>
    <w:rsid w:val="00534FAC"/>
    <w:rsid w:val="0053600A"/>
    <w:rsid w:val="00540B67"/>
    <w:rsid w:val="00543305"/>
    <w:rsid w:val="00552548"/>
    <w:rsid w:val="00552F65"/>
    <w:rsid w:val="00557DA2"/>
    <w:rsid w:val="0056062C"/>
    <w:rsid w:val="00561DF7"/>
    <w:rsid w:val="00561F1E"/>
    <w:rsid w:val="005701ED"/>
    <w:rsid w:val="00574B31"/>
    <w:rsid w:val="00576E43"/>
    <w:rsid w:val="00577C06"/>
    <w:rsid w:val="0058523C"/>
    <w:rsid w:val="005869A3"/>
    <w:rsid w:val="005869F2"/>
    <w:rsid w:val="0059048F"/>
    <w:rsid w:val="0059119E"/>
    <w:rsid w:val="00594BC8"/>
    <w:rsid w:val="00597A15"/>
    <w:rsid w:val="005A78D2"/>
    <w:rsid w:val="005B14C7"/>
    <w:rsid w:val="005B428A"/>
    <w:rsid w:val="005C352D"/>
    <w:rsid w:val="005D5CB6"/>
    <w:rsid w:val="005E03B0"/>
    <w:rsid w:val="005F0BFF"/>
    <w:rsid w:val="005F4733"/>
    <w:rsid w:val="005F6547"/>
    <w:rsid w:val="005F6DD8"/>
    <w:rsid w:val="006039E4"/>
    <w:rsid w:val="0060496E"/>
    <w:rsid w:val="006119BB"/>
    <w:rsid w:val="006217FA"/>
    <w:rsid w:val="0062392D"/>
    <w:rsid w:val="00632F7B"/>
    <w:rsid w:val="006347A5"/>
    <w:rsid w:val="00635680"/>
    <w:rsid w:val="00647EC4"/>
    <w:rsid w:val="006524D4"/>
    <w:rsid w:val="00663C6F"/>
    <w:rsid w:val="00672829"/>
    <w:rsid w:val="0067651F"/>
    <w:rsid w:val="0067761B"/>
    <w:rsid w:val="0068212B"/>
    <w:rsid w:val="00682B53"/>
    <w:rsid w:val="00684553"/>
    <w:rsid w:val="00686C88"/>
    <w:rsid w:val="0069510C"/>
    <w:rsid w:val="00697E58"/>
    <w:rsid w:val="006A001B"/>
    <w:rsid w:val="006A2175"/>
    <w:rsid w:val="006A6FB0"/>
    <w:rsid w:val="006C7207"/>
    <w:rsid w:val="006D013B"/>
    <w:rsid w:val="006D6C32"/>
    <w:rsid w:val="006D7C66"/>
    <w:rsid w:val="006E3253"/>
    <w:rsid w:val="006F0042"/>
    <w:rsid w:val="006F5B64"/>
    <w:rsid w:val="006F6C53"/>
    <w:rsid w:val="006F7A2E"/>
    <w:rsid w:val="0070499D"/>
    <w:rsid w:val="00716DA2"/>
    <w:rsid w:val="00723D76"/>
    <w:rsid w:val="00726559"/>
    <w:rsid w:val="007376F5"/>
    <w:rsid w:val="00740084"/>
    <w:rsid w:val="007447F4"/>
    <w:rsid w:val="00761DAB"/>
    <w:rsid w:val="007737FC"/>
    <w:rsid w:val="00776836"/>
    <w:rsid w:val="00777B1C"/>
    <w:rsid w:val="00781B28"/>
    <w:rsid w:val="00796575"/>
    <w:rsid w:val="007A297F"/>
    <w:rsid w:val="007A592C"/>
    <w:rsid w:val="007A6633"/>
    <w:rsid w:val="007B1AEA"/>
    <w:rsid w:val="007B3E53"/>
    <w:rsid w:val="007C1744"/>
    <w:rsid w:val="007C1CF3"/>
    <w:rsid w:val="007C7915"/>
    <w:rsid w:val="007E3BE3"/>
    <w:rsid w:val="007E3D83"/>
    <w:rsid w:val="007F4135"/>
    <w:rsid w:val="007F4669"/>
    <w:rsid w:val="007F65E1"/>
    <w:rsid w:val="00802471"/>
    <w:rsid w:val="0080281D"/>
    <w:rsid w:val="00807B64"/>
    <w:rsid w:val="00807BCE"/>
    <w:rsid w:val="00825D17"/>
    <w:rsid w:val="00833864"/>
    <w:rsid w:val="00833DEB"/>
    <w:rsid w:val="00834E67"/>
    <w:rsid w:val="00836A9E"/>
    <w:rsid w:val="008378C6"/>
    <w:rsid w:val="0084231D"/>
    <w:rsid w:val="00854DA7"/>
    <w:rsid w:val="0086467B"/>
    <w:rsid w:val="008702D4"/>
    <w:rsid w:val="008736B2"/>
    <w:rsid w:val="0087576D"/>
    <w:rsid w:val="00875857"/>
    <w:rsid w:val="008865D1"/>
    <w:rsid w:val="00887589"/>
    <w:rsid w:val="008906CC"/>
    <w:rsid w:val="008A15D2"/>
    <w:rsid w:val="008A6184"/>
    <w:rsid w:val="008A71B2"/>
    <w:rsid w:val="008B08CB"/>
    <w:rsid w:val="008B211E"/>
    <w:rsid w:val="008B791E"/>
    <w:rsid w:val="008C248F"/>
    <w:rsid w:val="008C47AE"/>
    <w:rsid w:val="008D3C45"/>
    <w:rsid w:val="008E0022"/>
    <w:rsid w:val="008E094D"/>
    <w:rsid w:val="008E3AA5"/>
    <w:rsid w:val="008E7E3B"/>
    <w:rsid w:val="008F6C22"/>
    <w:rsid w:val="0090583A"/>
    <w:rsid w:val="009063D2"/>
    <w:rsid w:val="009224EE"/>
    <w:rsid w:val="00922786"/>
    <w:rsid w:val="00926D22"/>
    <w:rsid w:val="00932F4E"/>
    <w:rsid w:val="00936176"/>
    <w:rsid w:val="009376D1"/>
    <w:rsid w:val="00941DCB"/>
    <w:rsid w:val="0094213B"/>
    <w:rsid w:val="00950942"/>
    <w:rsid w:val="00952D2B"/>
    <w:rsid w:val="00957EA1"/>
    <w:rsid w:val="00964761"/>
    <w:rsid w:val="00965889"/>
    <w:rsid w:val="0097145F"/>
    <w:rsid w:val="00977715"/>
    <w:rsid w:val="009839A8"/>
    <w:rsid w:val="00984062"/>
    <w:rsid w:val="009844B6"/>
    <w:rsid w:val="009910C9"/>
    <w:rsid w:val="00994701"/>
    <w:rsid w:val="00996FE9"/>
    <w:rsid w:val="00997BA2"/>
    <w:rsid w:val="009A3D43"/>
    <w:rsid w:val="009A41AE"/>
    <w:rsid w:val="009A6206"/>
    <w:rsid w:val="009B351D"/>
    <w:rsid w:val="009B646B"/>
    <w:rsid w:val="009B7DC6"/>
    <w:rsid w:val="009C6561"/>
    <w:rsid w:val="009E197C"/>
    <w:rsid w:val="009E7C0E"/>
    <w:rsid w:val="009F6493"/>
    <w:rsid w:val="00A0568C"/>
    <w:rsid w:val="00A0771C"/>
    <w:rsid w:val="00A170B7"/>
    <w:rsid w:val="00A339FF"/>
    <w:rsid w:val="00A520E9"/>
    <w:rsid w:val="00A55A8A"/>
    <w:rsid w:val="00A571B3"/>
    <w:rsid w:val="00A61DDF"/>
    <w:rsid w:val="00A6248F"/>
    <w:rsid w:val="00A7489A"/>
    <w:rsid w:val="00A753CB"/>
    <w:rsid w:val="00A80981"/>
    <w:rsid w:val="00A87735"/>
    <w:rsid w:val="00A90E9E"/>
    <w:rsid w:val="00A92CD3"/>
    <w:rsid w:val="00A94FB4"/>
    <w:rsid w:val="00AA28E0"/>
    <w:rsid w:val="00AA4134"/>
    <w:rsid w:val="00AA69FF"/>
    <w:rsid w:val="00AB5476"/>
    <w:rsid w:val="00AC1720"/>
    <w:rsid w:val="00AC2C25"/>
    <w:rsid w:val="00AC4912"/>
    <w:rsid w:val="00AE4C0B"/>
    <w:rsid w:val="00AE4C95"/>
    <w:rsid w:val="00AF12E3"/>
    <w:rsid w:val="00AF154E"/>
    <w:rsid w:val="00AF1E36"/>
    <w:rsid w:val="00AF36C3"/>
    <w:rsid w:val="00AF6FC5"/>
    <w:rsid w:val="00B022FC"/>
    <w:rsid w:val="00B03678"/>
    <w:rsid w:val="00B12B9E"/>
    <w:rsid w:val="00B26682"/>
    <w:rsid w:val="00B312A6"/>
    <w:rsid w:val="00B422C2"/>
    <w:rsid w:val="00B4244F"/>
    <w:rsid w:val="00B4764E"/>
    <w:rsid w:val="00B50BC2"/>
    <w:rsid w:val="00B5324E"/>
    <w:rsid w:val="00B664A2"/>
    <w:rsid w:val="00B7121E"/>
    <w:rsid w:val="00B76464"/>
    <w:rsid w:val="00B81241"/>
    <w:rsid w:val="00B97120"/>
    <w:rsid w:val="00BA33FA"/>
    <w:rsid w:val="00BB5469"/>
    <w:rsid w:val="00BC1817"/>
    <w:rsid w:val="00BC2B37"/>
    <w:rsid w:val="00BC2EC8"/>
    <w:rsid w:val="00BD04DA"/>
    <w:rsid w:val="00BD7EB4"/>
    <w:rsid w:val="00BE00F9"/>
    <w:rsid w:val="00BE5E46"/>
    <w:rsid w:val="00BF5842"/>
    <w:rsid w:val="00BF62EE"/>
    <w:rsid w:val="00BF7CD5"/>
    <w:rsid w:val="00C026C1"/>
    <w:rsid w:val="00C032B3"/>
    <w:rsid w:val="00C03320"/>
    <w:rsid w:val="00C14689"/>
    <w:rsid w:val="00C15A96"/>
    <w:rsid w:val="00C16853"/>
    <w:rsid w:val="00C363C6"/>
    <w:rsid w:val="00C405BA"/>
    <w:rsid w:val="00C448D7"/>
    <w:rsid w:val="00C45EBB"/>
    <w:rsid w:val="00C64EB0"/>
    <w:rsid w:val="00C7096F"/>
    <w:rsid w:val="00C85771"/>
    <w:rsid w:val="00C8717D"/>
    <w:rsid w:val="00CB6937"/>
    <w:rsid w:val="00CC4A27"/>
    <w:rsid w:val="00CD04E4"/>
    <w:rsid w:val="00CD6FD1"/>
    <w:rsid w:val="00CE383C"/>
    <w:rsid w:val="00CE594D"/>
    <w:rsid w:val="00CF421C"/>
    <w:rsid w:val="00CF61E5"/>
    <w:rsid w:val="00CF7235"/>
    <w:rsid w:val="00D002A0"/>
    <w:rsid w:val="00D04A02"/>
    <w:rsid w:val="00D22368"/>
    <w:rsid w:val="00D348FF"/>
    <w:rsid w:val="00D34FF2"/>
    <w:rsid w:val="00D41FB5"/>
    <w:rsid w:val="00D528AB"/>
    <w:rsid w:val="00D60F4C"/>
    <w:rsid w:val="00D6194E"/>
    <w:rsid w:val="00D64BDD"/>
    <w:rsid w:val="00D822B1"/>
    <w:rsid w:val="00D91ECA"/>
    <w:rsid w:val="00D97C2B"/>
    <w:rsid w:val="00DD20D0"/>
    <w:rsid w:val="00DD365C"/>
    <w:rsid w:val="00DD6204"/>
    <w:rsid w:val="00DE498A"/>
    <w:rsid w:val="00DF6462"/>
    <w:rsid w:val="00E058B8"/>
    <w:rsid w:val="00E1154E"/>
    <w:rsid w:val="00E21174"/>
    <w:rsid w:val="00E240E8"/>
    <w:rsid w:val="00E24AD7"/>
    <w:rsid w:val="00E26137"/>
    <w:rsid w:val="00E33A02"/>
    <w:rsid w:val="00E36323"/>
    <w:rsid w:val="00E53564"/>
    <w:rsid w:val="00E577C5"/>
    <w:rsid w:val="00E64F4B"/>
    <w:rsid w:val="00E72765"/>
    <w:rsid w:val="00E92C45"/>
    <w:rsid w:val="00EA64C6"/>
    <w:rsid w:val="00EC4ED0"/>
    <w:rsid w:val="00EC7C77"/>
    <w:rsid w:val="00ED484B"/>
    <w:rsid w:val="00EF1BF5"/>
    <w:rsid w:val="00EF2183"/>
    <w:rsid w:val="00EF5976"/>
    <w:rsid w:val="00EF7437"/>
    <w:rsid w:val="00F02441"/>
    <w:rsid w:val="00F10684"/>
    <w:rsid w:val="00F2116B"/>
    <w:rsid w:val="00F36C45"/>
    <w:rsid w:val="00F41D23"/>
    <w:rsid w:val="00F54770"/>
    <w:rsid w:val="00F5719B"/>
    <w:rsid w:val="00F627BF"/>
    <w:rsid w:val="00F62DF0"/>
    <w:rsid w:val="00F71D34"/>
    <w:rsid w:val="00F76348"/>
    <w:rsid w:val="00F77524"/>
    <w:rsid w:val="00F8070D"/>
    <w:rsid w:val="00F82210"/>
    <w:rsid w:val="00F932F1"/>
    <w:rsid w:val="00FA6E4E"/>
    <w:rsid w:val="00FB4453"/>
    <w:rsid w:val="00FB498E"/>
    <w:rsid w:val="00FB4995"/>
    <w:rsid w:val="00FC507D"/>
    <w:rsid w:val="00FC58F1"/>
    <w:rsid w:val="00FC652E"/>
    <w:rsid w:val="00FD1C67"/>
    <w:rsid w:val="00FD69A2"/>
    <w:rsid w:val="00FE1041"/>
    <w:rsid w:val="00FE2595"/>
    <w:rsid w:val="00FE277B"/>
    <w:rsid w:val="00FE326E"/>
    <w:rsid w:val="00FE6FC2"/>
    <w:rsid w:val="00FF34EA"/>
    <w:rsid w:val="00FF776D"/>
    <w:rsid w:val="01AB3C07"/>
    <w:rsid w:val="045A726D"/>
    <w:rsid w:val="04BA767C"/>
    <w:rsid w:val="059B3F0E"/>
    <w:rsid w:val="08CB24B9"/>
    <w:rsid w:val="0CC033E4"/>
    <w:rsid w:val="11D716A6"/>
    <w:rsid w:val="1B59446E"/>
    <w:rsid w:val="1C5D2055"/>
    <w:rsid w:val="2CB930BC"/>
    <w:rsid w:val="32B66F6D"/>
    <w:rsid w:val="38984528"/>
    <w:rsid w:val="3D8D694B"/>
    <w:rsid w:val="411B5C23"/>
    <w:rsid w:val="472820B3"/>
    <w:rsid w:val="48EC28E7"/>
    <w:rsid w:val="4C0608D3"/>
    <w:rsid w:val="56774CE8"/>
    <w:rsid w:val="5958352A"/>
    <w:rsid w:val="5A2C1EE5"/>
    <w:rsid w:val="5E39489A"/>
    <w:rsid w:val="67AC765B"/>
    <w:rsid w:val="69E22468"/>
    <w:rsid w:val="7A1B4AF9"/>
    <w:rsid w:val="7C2E4DA2"/>
    <w:rsid w:val="7F79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kern w:val="0"/>
      <w:sz w:val="36"/>
      <w:szCs w:val="36"/>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eastAsia="宋体"/>
      <w:b/>
      <w:kern w:val="0"/>
      <w:sz w:val="27"/>
      <w:szCs w:val="27"/>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Body Text"/>
    <w:basedOn w:val="1"/>
    <w:qFormat/>
    <w:uiPriority w:val="0"/>
    <w:pPr>
      <w:spacing w:line="0" w:lineRule="atLeast"/>
    </w:pPr>
    <w:rPr>
      <w:rFonts w:eastAsia="小标宋"/>
      <w:sz w:val="44"/>
    </w:rPr>
  </w:style>
  <w:style w:type="paragraph" w:styleId="7">
    <w:name w:val="Plain Text"/>
    <w:basedOn w:val="1"/>
    <w:link w:val="19"/>
    <w:unhideWhenUsed/>
    <w:qFormat/>
    <w:uiPriority w:val="0"/>
    <w:pPr>
      <w:spacing w:line="360" w:lineRule="auto"/>
    </w:pPr>
    <w:rPr>
      <w:rFonts w:ascii="宋体" w:hAnsi="Courier New" w:eastAsia="宋体"/>
      <w:color w:val="000000"/>
      <w:kern w:val="24"/>
      <w:sz w:val="21"/>
      <w:szCs w:val="21"/>
    </w:r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unhideWhenUsed/>
    <w:uiPriority w:val="99"/>
    <w:pPr>
      <w:spacing w:before="100" w:beforeAutospacing="1" w:after="100" w:afterAutospacing="1"/>
      <w:jc w:val="left"/>
    </w:pPr>
    <w:rPr>
      <w:kern w:val="0"/>
      <w:sz w:val="24"/>
    </w:rPr>
  </w:style>
  <w:style w:type="paragraph" w:styleId="13">
    <w:name w:val="Body Text First Indent"/>
    <w:basedOn w:val="6"/>
    <w:link w:val="20"/>
    <w:uiPriority w:val="0"/>
    <w:pPr>
      <w:spacing w:before="20" w:after="120" w:line="400" w:lineRule="exact"/>
      <w:ind w:firstLine="420" w:firstLineChars="100"/>
    </w:pPr>
    <w:rPr>
      <w:rFonts w:eastAsia="宋体"/>
      <w:sz w:val="24"/>
      <w:szCs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iPriority w:val="0"/>
  </w:style>
  <w:style w:type="character" w:customStyle="1" w:styleId="18">
    <w:name w:val="标题 1 字符"/>
    <w:link w:val="2"/>
    <w:qFormat/>
    <w:uiPriority w:val="9"/>
    <w:rPr>
      <w:rFonts w:ascii="宋体" w:hAnsi="宋体" w:cs="宋体"/>
      <w:b/>
      <w:bCs/>
      <w:kern w:val="36"/>
      <w:sz w:val="48"/>
      <w:szCs w:val="48"/>
    </w:rPr>
  </w:style>
  <w:style w:type="character" w:customStyle="1" w:styleId="19">
    <w:name w:val="纯文本 字符"/>
    <w:link w:val="7"/>
    <w:qFormat/>
    <w:uiPriority w:val="0"/>
    <w:rPr>
      <w:rFonts w:ascii="宋体" w:hAnsi="Courier New"/>
      <w:color w:val="000000"/>
      <w:kern w:val="24"/>
      <w:sz w:val="21"/>
      <w:szCs w:val="21"/>
    </w:rPr>
  </w:style>
  <w:style w:type="character" w:customStyle="1" w:styleId="20">
    <w:name w:val="正文文本首行缩进 字符"/>
    <w:link w:val="13"/>
    <w:uiPriority w:val="0"/>
    <w:rPr>
      <w:rFonts w:eastAsia="宋体"/>
      <w:kern w:val="2"/>
      <w:sz w:val="24"/>
      <w:szCs w:val="24"/>
      <w:lang w:val="en-US" w:eastAsia="zh-CN" w:bidi="ar-SA"/>
    </w:rPr>
  </w:style>
  <w:style w:type="character" w:customStyle="1" w:styleId="21">
    <w:name w:val="fontstyle01"/>
    <w:uiPriority w:val="0"/>
    <w:rPr>
      <w:rFonts w:hint="eastAsia" w:ascii="宋体" w:hAnsi="宋体" w:eastAsia="宋体"/>
      <w:color w:val="000000"/>
      <w:sz w:val="24"/>
      <w:szCs w:val="24"/>
    </w:rPr>
  </w:style>
  <w:style w:type="character" w:customStyle="1" w:styleId="22">
    <w:name w:val="fontstyle21"/>
    <w:uiPriority w:val="0"/>
    <w:rPr>
      <w:rFonts w:hint="default" w:ascii="Times New Roman" w:hAnsi="Times New Roman" w:cs="Times New Roman"/>
      <w:color w:val="000000"/>
      <w:sz w:val="24"/>
      <w:szCs w:val="24"/>
    </w:rPr>
  </w:style>
  <w:style w:type="character" w:customStyle="1" w:styleId="23">
    <w:name w:val="zly-正文 Char"/>
    <w:link w:val="24"/>
    <w:uiPriority w:val="0"/>
    <w:rPr>
      <w:rFonts w:eastAsia="宋体"/>
      <w:snapToGrid w:val="0"/>
      <w:kern w:val="2"/>
      <w:sz w:val="24"/>
      <w:szCs w:val="24"/>
      <w:lang w:bidi="ar-SA"/>
    </w:rPr>
  </w:style>
  <w:style w:type="paragraph" w:customStyle="1" w:styleId="24">
    <w:name w:val="zly-正文"/>
    <w:basedOn w:val="1"/>
    <w:link w:val="23"/>
    <w:qFormat/>
    <w:uiPriority w:val="0"/>
    <w:pPr>
      <w:widowControl/>
      <w:spacing w:line="360" w:lineRule="auto"/>
      <w:ind w:firstLine="425"/>
      <w:jc w:val="left"/>
    </w:pPr>
    <w:rPr>
      <w:rFonts w:eastAsia="宋体"/>
      <w:snapToGrid w:val="0"/>
      <w:sz w:val="24"/>
      <w:szCs w:val="24"/>
    </w:rPr>
  </w:style>
  <w:style w:type="character" w:customStyle="1" w:styleId="25">
    <w:name w:val="fontstyle11"/>
    <w:uiPriority w:val="0"/>
    <w:rPr>
      <w:rFonts w:hint="default" w:ascii="Times New Roman" w:hAnsi="Times New Roman" w:cs="Times New Roman"/>
      <w:color w:val="000000"/>
      <w:sz w:val="24"/>
      <w:szCs w:val="24"/>
    </w:rPr>
  </w:style>
  <w:style w:type="character" w:customStyle="1" w:styleId="26">
    <w:name w:val="doc_title"/>
    <w:uiPriority w:val="0"/>
  </w:style>
  <w:style w:type="character" w:customStyle="1" w:styleId="27">
    <w:name w:val="正文 Char"/>
    <w:link w:val="28"/>
    <w:uiPriority w:val="0"/>
    <w:rPr>
      <w:rFonts w:eastAsia="Times New Roman"/>
      <w:kern w:val="2"/>
      <w:sz w:val="24"/>
      <w:szCs w:val="18"/>
      <w:lang w:val="en-US" w:eastAsia="zh-CN" w:bidi="ar-SA"/>
    </w:rPr>
  </w:style>
  <w:style w:type="paragraph" w:customStyle="1" w:styleId="28">
    <w:name w:val="正文1"/>
    <w:link w:val="27"/>
    <w:qFormat/>
    <w:uiPriority w:val="0"/>
    <w:pPr>
      <w:spacing w:line="360" w:lineRule="auto"/>
      <w:ind w:firstLine="200" w:firstLineChars="200"/>
      <w:jc w:val="both"/>
    </w:pPr>
    <w:rPr>
      <w:rFonts w:ascii="Times New Roman" w:hAnsi="Times New Roman" w:eastAsia="Times New Roman" w:cs="Times New Roman"/>
      <w:kern w:val="2"/>
      <w:sz w:val="24"/>
      <w:szCs w:val="18"/>
      <w:lang w:val="en-US" w:eastAsia="zh-CN" w:bidi="ar-SA"/>
    </w:rPr>
  </w:style>
  <w:style w:type="character" w:customStyle="1" w:styleId="29">
    <w:name w:val="列表段落 字符"/>
    <w:link w:val="30"/>
    <w:uiPriority w:val="0"/>
    <w:rPr>
      <w:rFonts w:ascii="Calibri" w:hAnsi="Calibri" w:eastAsia="宋体"/>
      <w:kern w:val="2"/>
      <w:sz w:val="28"/>
      <w:szCs w:val="22"/>
      <w:lang w:bidi="ar-SA"/>
    </w:rPr>
  </w:style>
  <w:style w:type="paragraph" w:styleId="30">
    <w:name w:val="List Paragraph"/>
    <w:basedOn w:val="1"/>
    <w:link w:val="29"/>
    <w:qFormat/>
    <w:uiPriority w:val="0"/>
    <w:pPr>
      <w:spacing w:afterLines="50" w:line="440" w:lineRule="exact"/>
      <w:ind w:firstLine="420" w:firstLineChars="200"/>
    </w:pPr>
    <w:rPr>
      <w:rFonts w:ascii="Calibri" w:hAnsi="Calibri" w:eastAsia="宋体"/>
      <w:sz w:val="28"/>
      <w:szCs w:val="22"/>
    </w:rPr>
  </w:style>
  <w:style w:type="paragraph" w:customStyle="1" w:styleId="31">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lh-正文-报告表"/>
    <w:basedOn w:val="1"/>
    <w:qFormat/>
    <w:uiPriority w:val="0"/>
    <w:pPr>
      <w:spacing w:line="360" w:lineRule="auto"/>
      <w:ind w:firstLine="480" w:firstLineChars="200"/>
    </w:pPr>
    <w:rPr>
      <w:rFonts w:eastAsia="宋体"/>
      <w:kern w:val="0"/>
      <w:sz w:val="24"/>
    </w:rPr>
  </w:style>
  <w:style w:type="paragraph" w:customStyle="1" w:styleId="33">
    <w:name w:val="环评正文"/>
    <w:basedOn w:val="1"/>
    <w:qFormat/>
    <w:uiPriority w:val="0"/>
    <w:pPr>
      <w:spacing w:line="360" w:lineRule="auto"/>
      <w:ind w:firstLine="200" w:firstLineChars="200"/>
    </w:pPr>
    <w:rPr>
      <w:rFonts w:eastAsia="宋体"/>
      <w:sz w:val="24"/>
    </w:rPr>
  </w:style>
  <w:style w:type="paragraph" w:customStyle="1" w:styleId="34">
    <w:name w:val=" Char Char Char Char Char"/>
    <w:basedOn w:val="1"/>
    <w:uiPriority w:val="0"/>
    <w:pPr>
      <w:spacing w:line="360" w:lineRule="auto"/>
      <w:ind w:firstLine="200" w:firstLineChars="200"/>
    </w:pPr>
    <w:rPr>
      <w:rFonts w:ascii="宋体" w:hAnsi="宋体" w:eastAsia="宋体" w:cs="宋体"/>
      <w:sz w:val="24"/>
      <w:szCs w:val="24"/>
    </w:rPr>
  </w:style>
  <w:style w:type="paragraph" w:customStyle="1" w:styleId="35">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Files\Common Files\gwb\gwb3.dot</Template>
  <Company> </Company>
  <Pages>5</Pages>
  <Words>2470</Words>
  <Characters>2701</Characters>
  <Lines>20</Lines>
  <Paragraphs>5</Paragraphs>
  <TotalTime>10</TotalTime>
  <ScaleCrop>false</ScaleCrop>
  <LinksUpToDate>false</LinksUpToDate>
  <CharactersWithSpaces>2828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2022-04-17T05:54:00Z</dcterms:created>
  <dc:creator>微软用户</dc:creator>
  <cp:lastModifiedBy>hqzwb</cp:lastModifiedBy>
  <cp:lastPrinted>2022-04-18T01:43:02Z</cp:lastPrinted>
  <dcterms:modified xsi:type="dcterms:W3CDTF">2022-04-18T01:43:36Z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1710C1C3D1FE4ADAB909247A89835A9E</vt:lpwstr>
  </property>
</Properties>
</file>