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rPr>
      </w:pPr>
      <w:r>
        <w:rPr>
          <w:rFonts w:eastAsia="黑体"/>
          <w:sz w:val="20"/>
          <w:lang w:val="en-US" w:eastAsia="zh-CN"/>
        </w:rPr>
        <mc:AlternateContent>
          <mc:Choice Requires="wps">
            <w:drawing>
              <wp:anchor distT="0" distB="0" distL="114300" distR="114300" simplePos="0" relativeHeight="251660288" behindDoc="0" locked="1" layoutInCell="1" allowOverlap="1">
                <wp:simplePos x="0" y="0"/>
                <wp:positionH relativeFrom="column">
                  <wp:posOffset>-145415</wp:posOffset>
                </wp:positionH>
                <wp:positionV relativeFrom="page">
                  <wp:posOffset>9973310</wp:posOffset>
                </wp:positionV>
                <wp:extent cx="6000750" cy="0"/>
                <wp:effectExtent l="0" t="25400" r="19050" b="25400"/>
                <wp:wrapNone/>
                <wp:docPr id="9" name="直线 24"/>
                <wp:cNvGraphicFramePr/>
                <a:graphic xmlns:a="http://schemas.openxmlformats.org/drawingml/2006/main">
                  <a:graphicData uri="http://schemas.microsoft.com/office/word/2010/wordprocessingShape">
                    <wps:wsp>
                      <wps:cNvCnPr/>
                      <wps:spPr bwMode="auto">
                        <a:xfrm>
                          <a:off x="0" y="0"/>
                          <a:ext cx="6000750" cy="0"/>
                        </a:xfrm>
                        <a:prstGeom prst="line">
                          <a:avLst/>
                        </a:prstGeom>
                        <a:noFill/>
                        <a:ln w="57150" cmpd="thinThick">
                          <a:solidFill>
                            <a:srgbClr val="FF0000"/>
                          </a:solidFill>
                          <a:round/>
                        </a:ln>
                      </wps:spPr>
                      <wps:bodyPr/>
                    </wps:wsp>
                  </a:graphicData>
                </a:graphic>
              </wp:anchor>
            </w:drawing>
          </mc:Choice>
          <mc:Fallback>
            <w:pict>
              <v:line id="直线 24" o:spid="_x0000_s1026" o:spt="20" style="position:absolute;left:0pt;margin-left:-11.45pt;margin-top:785.3pt;height:0pt;width:472.5pt;mso-position-vertical-relative:page;z-index:251660288;mso-width-relative:page;mso-height-relative:page;" filled="f" stroked="t" coordsize="21600,21600" o:gfxdata="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lEQOvXAAAADQEAAA8AAAAAAAAAAQAgAAAAIgAAAGRycy9k&#10;b3ducmV2LnhtbFBLAQIUABQAAAAIAIdO4kDGwk1nygEAAIIDAAAOAAAAAAAAAAEAIAAAACYBAABk&#10;cnMvZTJvRG9jLnhtbFBLBQYAAAAABgAGAFkBAABiBQAAAAA=&#10;">
                <v:fill on="f" focussize="0,0"/>
                <v:stroke weight="4.5pt" color="#FF0000" linestyle="thinThick" joinstyle="round"/>
                <v:imagedata o:title=""/>
                <o:lock v:ext="edit" aspectratio="f"/>
                <w10:anchorlock/>
              </v:line>
            </w:pict>
          </mc:Fallback>
        </mc:AlternateContent>
      </w:r>
      <w:r>
        <w:rPr>
          <w:rFonts w:eastAsia="黑体"/>
          <w:sz w:val="20"/>
          <w:lang w:val="en-US" w:eastAsia="zh-CN"/>
        </w:rPr>
        <mc:AlternateContent>
          <mc:Choice Requires="wps">
            <w:drawing>
              <wp:anchor distT="0" distB="0" distL="114300" distR="114300" simplePos="0" relativeHeight="251660288" behindDoc="0" locked="1" layoutInCell="1" allowOverlap="1">
                <wp:simplePos x="0" y="0"/>
                <wp:positionH relativeFrom="column">
                  <wp:posOffset>-152400</wp:posOffset>
                </wp:positionH>
                <wp:positionV relativeFrom="page">
                  <wp:posOffset>1548130</wp:posOffset>
                </wp:positionV>
                <wp:extent cx="6000750" cy="0"/>
                <wp:effectExtent l="0" t="25400" r="19050" b="25400"/>
                <wp:wrapNone/>
                <wp:docPr id="8" name="直线 23"/>
                <wp:cNvGraphicFramePr/>
                <a:graphic xmlns:a="http://schemas.openxmlformats.org/drawingml/2006/main">
                  <a:graphicData uri="http://schemas.microsoft.com/office/word/2010/wordprocessingShape">
                    <wps:wsp>
                      <wps:cNvCnPr/>
                      <wps:spPr bwMode="auto">
                        <a:xfrm>
                          <a:off x="0" y="0"/>
                          <a:ext cx="6000750" cy="0"/>
                        </a:xfrm>
                        <a:prstGeom prst="line">
                          <a:avLst/>
                        </a:prstGeom>
                        <a:noFill/>
                        <a:ln w="57150" cmpd="thickThin">
                          <a:solidFill>
                            <a:srgbClr val="FF0000"/>
                          </a:solidFill>
                          <a:round/>
                        </a:ln>
                      </wps:spPr>
                      <wps:bodyPr/>
                    </wps:wsp>
                  </a:graphicData>
                </a:graphic>
              </wp:anchor>
            </w:drawing>
          </mc:Choice>
          <mc:Fallback>
            <w:pict>
              <v:line id="直线 23" o:spid="_x0000_s1026" o:spt="20" style="position:absolute;left:0pt;margin-left:-12pt;margin-top:121.9pt;height:0pt;width:472.5pt;mso-position-vertical-relative:page;z-index:251660288;mso-width-relative:page;mso-height-relative:page;" filled="f" stroked="t" coordsize="21600,21600" o:gfxdata="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3TRkV1gAAAAsBAAAPAAAAAAAAAAEAIAAAACIAAABkcnMvZG93&#10;bnJldi54bWxQSwECFAAUAAAACACHTuJAUVmjIMkBAACCAwAADgAAAAAAAAABACAAAAAlAQAAZHJz&#10;L2Uyb0RvYy54bWxQSwUGAAAAAAYABgBZAQAAYAUAAAAA&#10;">
                <v:fill on="f" focussize="0,0"/>
                <v:stroke weight="4.5pt" color="#FF0000" linestyle="thickThin" joinstyle="round"/>
                <v:imagedata o:title=""/>
                <o:lock v:ext="edit" aspectratio="f"/>
                <w10:anchorlock/>
              </v:line>
            </w:pict>
          </mc:Fallback>
        </mc:AlternateContent>
      </w:r>
    </w:p>
    <w:p>
      <w:pPr>
        <w:spacing w:line="560" w:lineRule="exact"/>
        <w:jc w:val="center"/>
        <w:rPr>
          <w:rFonts w:hint="eastAsia" w:ascii="文星仿宋" w:eastAsia="文星仿宋"/>
          <w:sz w:val="18"/>
          <w:szCs w:val="18"/>
        </w:rPr>
      </w:pPr>
      <w:r>
        <w:rPr>
          <w:rFonts w:hint="eastAsia" w:ascii="文星仿宋" w:eastAsia="文星仿宋"/>
          <w:sz w:val="28"/>
          <w:szCs w:val="28"/>
        </w:rPr>
        <w:t xml:space="preserve">                                         </w:t>
      </w:r>
    </w:p>
    <w:p>
      <w:pPr>
        <w:spacing w:line="270" w:lineRule="atLeast"/>
        <w:rPr>
          <w:rFonts w:hint="eastAsia" w:ascii="微软雅黑" w:hAnsi="微软雅黑" w:eastAsia="微软雅黑" w:cs="宋体"/>
          <w:color w:val="000000"/>
          <w:sz w:val="12"/>
          <w:szCs w:val="12"/>
        </w:rPr>
      </w:pPr>
      <w:r>
        <w:rPr>
          <w:rFonts w:hint="eastAsia" w:ascii="文星仿宋" w:eastAsia="文星仿宋"/>
          <w:sz w:val="24"/>
          <w:szCs w:val="24"/>
        </w:rPr>
        <w:t>项目代码：2</w:t>
      </w:r>
      <w:r>
        <w:rPr>
          <w:rFonts w:hint="eastAsia" w:ascii="文星仿宋" w:eastAsia="文星仿宋"/>
          <w:sz w:val="24"/>
          <w:szCs w:val="24"/>
          <w:lang w:val="en-US" w:eastAsia="zh-CN"/>
        </w:rPr>
        <w:t>203</w:t>
      </w:r>
      <w:r>
        <w:rPr>
          <w:rFonts w:hint="eastAsia" w:ascii="文星仿宋" w:eastAsia="文星仿宋"/>
          <w:sz w:val="24"/>
          <w:szCs w:val="24"/>
        </w:rPr>
        <w:t>-120106-89-0</w:t>
      </w:r>
      <w:r>
        <w:rPr>
          <w:rFonts w:hint="eastAsia" w:ascii="文星仿宋" w:eastAsia="文星仿宋"/>
          <w:sz w:val="24"/>
          <w:szCs w:val="24"/>
          <w:lang w:val="en-US" w:eastAsia="zh-CN"/>
        </w:rPr>
        <w:t>5</w:t>
      </w:r>
      <w:r>
        <w:rPr>
          <w:rFonts w:hint="eastAsia" w:ascii="文星仿宋" w:eastAsia="文星仿宋"/>
          <w:sz w:val="24"/>
          <w:szCs w:val="24"/>
        </w:rPr>
        <w:t>-</w:t>
      </w:r>
      <w:r>
        <w:rPr>
          <w:rFonts w:hint="eastAsia" w:ascii="文星仿宋" w:eastAsia="文星仿宋"/>
          <w:sz w:val="24"/>
          <w:szCs w:val="24"/>
          <w:lang w:val="en-US" w:eastAsia="zh-CN"/>
        </w:rPr>
        <w:t>223789</w:t>
      </w:r>
      <w:r>
        <w:rPr>
          <w:rFonts w:hint="eastAsia" w:ascii="微软雅黑" w:hAnsi="微软雅黑" w:eastAsia="微软雅黑" w:cs="宋体"/>
          <w:color w:val="000000"/>
          <w:kern w:val="0"/>
          <w:sz w:val="12"/>
          <w:szCs w:val="12"/>
        </w:rPr>
        <w:t xml:space="preserve">                                       </w:t>
      </w:r>
      <w:r>
        <w:rPr>
          <w:rFonts w:hint="eastAsia" w:ascii="文星仿宋" w:eastAsia="文星仿宋"/>
          <w:sz w:val="24"/>
          <w:szCs w:val="24"/>
        </w:rPr>
        <w:t>津红政务环表</w:t>
      </w:r>
      <w:r>
        <w:rPr>
          <w:rFonts w:hint="eastAsia" w:ascii="文星仿宋" w:eastAsia="文星仿宋"/>
          <w:color w:val="000000"/>
          <w:sz w:val="24"/>
          <w:szCs w:val="24"/>
        </w:rPr>
        <w:t>〔2022〕</w:t>
      </w:r>
      <w:r>
        <w:rPr>
          <w:rFonts w:hint="eastAsia" w:ascii="文星仿宋" w:eastAsia="文星仿宋"/>
          <w:color w:val="000000"/>
          <w:sz w:val="24"/>
          <w:szCs w:val="24"/>
          <w:lang w:val="en-US" w:eastAsia="zh-CN"/>
        </w:rPr>
        <w:t>6</w:t>
      </w:r>
      <w:r>
        <w:rPr>
          <w:rFonts w:hint="eastAsia" w:ascii="文星仿宋" w:eastAsia="文星仿宋"/>
          <w:color w:val="000000"/>
          <w:sz w:val="24"/>
          <w:szCs w:val="24"/>
        </w:rPr>
        <w:t>号</w:t>
      </w:r>
    </w:p>
    <w:p>
      <w:pPr>
        <w:spacing w:line="200" w:lineRule="exact"/>
        <w:rPr>
          <w:rFonts w:hint="eastAsia" w:hAnsi="文星标宋" w:eastAsia="文星标宋"/>
          <w:w w:val="95"/>
          <w:sz w:val="18"/>
          <w:szCs w:val="1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文星标宋" w:hAnsi="文星标宋" w:eastAsia="文星标宋"/>
          <w:sz w:val="44"/>
          <w:szCs w:val="44"/>
          <w:lang w:val="en-US" w:eastAsia="zh-CN"/>
        </w:rPr>
      </w:pPr>
      <w:r>
        <w:rPr>
          <w:rFonts w:hint="eastAsia" w:ascii="文星标宋" w:hAnsi="文星标宋" w:eastAsia="文星标宋"/>
          <w:sz w:val="44"/>
          <w:szCs w:val="44"/>
          <w:lang w:val="en-US" w:eastAsia="zh-CN"/>
        </w:rPr>
        <w:t>关于</w:t>
      </w:r>
      <w:r>
        <w:rPr>
          <w:rFonts w:hint="eastAsia" w:ascii="文星标宋" w:hAnsi="文星标宋" w:eastAsia="文星标宋"/>
          <w:sz w:val="44"/>
          <w:szCs w:val="44"/>
          <w:lang w:val="en-US"/>
        </w:rPr>
        <w:t>对</w:t>
      </w:r>
      <w:r>
        <w:rPr>
          <w:rFonts w:hint="eastAsia" w:ascii="文星标宋" w:hAnsi="文星标宋" w:eastAsia="文星标宋"/>
          <w:sz w:val="44"/>
          <w:szCs w:val="44"/>
          <w:lang w:val="en-US" w:eastAsia="zh-CN"/>
        </w:rPr>
        <w:t>新阶层华鼎医院</w:t>
      </w:r>
      <w:r>
        <w:rPr>
          <w:rFonts w:hint="eastAsia" w:ascii="文星标宋" w:hAnsi="文星标宋" w:eastAsia="文星标宋"/>
          <w:sz w:val="44"/>
          <w:szCs w:val="44"/>
          <w:lang w:val="en-US"/>
        </w:rPr>
        <w:t>项目</w:t>
      </w:r>
      <w:r>
        <w:rPr>
          <w:rFonts w:hint="eastAsia" w:ascii="文星标宋" w:hAnsi="文星标宋" w:eastAsia="文星标宋"/>
          <w:sz w:val="44"/>
          <w:szCs w:val="44"/>
          <w:lang w:val="en-US" w:eastAsia="zh-CN"/>
        </w:rPr>
        <w:t>环境影响报告表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文星标宋" w:hAnsi="文星标宋" w:eastAsia="文星标宋"/>
          <w:sz w:val="44"/>
          <w:szCs w:val="44"/>
          <w:lang w:val="en-US" w:eastAsia="zh-CN"/>
        </w:rPr>
      </w:pPr>
      <w:r>
        <w:rPr>
          <w:rFonts w:hint="eastAsia" w:ascii="文星标宋" w:hAnsi="文星标宋" w:eastAsia="文星标宋"/>
          <w:sz w:val="44"/>
          <w:szCs w:val="44"/>
          <w:lang w:val="en-US" w:eastAsia="zh-CN"/>
        </w:rPr>
        <w:t>的审批意见</w:t>
      </w:r>
    </w:p>
    <w:p>
      <w:pPr>
        <w:spacing w:line="240" w:lineRule="exact"/>
        <w:rPr>
          <w:rFonts w:hint="eastAsia" w:hAnsi="文星标宋" w:eastAsia="文星标宋"/>
          <w:sz w:val="44"/>
          <w:szCs w:val="44"/>
          <w:lang w:val="en-US" w:eastAsia="zh-CN"/>
        </w:rPr>
      </w:pPr>
      <w:r>
        <w:rPr>
          <w:rFonts w:eastAsia="文星标宋"/>
          <w:sz w:val="44"/>
          <w:szCs w:val="44"/>
          <w:lang w:val="en-US" w:eastAsia="zh-CN"/>
        </w:rPr>
        <mc:AlternateContent>
          <mc:Choice Requires="wps">
            <w:drawing>
              <wp:anchor distT="0" distB="0" distL="114300" distR="114300" simplePos="0" relativeHeight="251659264" behindDoc="0" locked="1" layoutInCell="1" allowOverlap="1">
                <wp:simplePos x="0" y="0"/>
                <wp:positionH relativeFrom="column">
                  <wp:posOffset>57150</wp:posOffset>
                </wp:positionH>
                <wp:positionV relativeFrom="page">
                  <wp:posOffset>1043940</wp:posOffset>
                </wp:positionV>
                <wp:extent cx="5600700" cy="735330"/>
                <wp:effectExtent l="0" t="0" r="0" b="0"/>
                <wp:wrapNone/>
                <wp:docPr id="7" name="文本框 20"/>
                <wp:cNvGraphicFramePr/>
                <a:graphic xmlns:a="http://schemas.openxmlformats.org/drawingml/2006/main">
                  <a:graphicData uri="http://schemas.microsoft.com/office/word/2010/wordprocessingShape">
                    <wps:wsp>
                      <wps:cNvSpPr txBox="1"/>
                      <wps:spPr bwMode="auto">
                        <a:xfrm>
                          <a:off x="0" y="0"/>
                          <a:ext cx="5600700" cy="735330"/>
                        </a:xfrm>
                        <a:prstGeom prst="rect">
                          <a:avLst/>
                        </a:prstGeom>
                        <a:noFill/>
                        <a:ln>
                          <a:noFill/>
                        </a:ln>
                      </wps:spPr>
                      <wps:txbx>
                        <w:txbxContent>
                          <w:p>
                            <w:pPr>
                              <w:spacing w:line="0" w:lineRule="atLeast"/>
                              <w:jc w:val="distribute"/>
                              <w:rPr>
                                <w:rFonts w:hint="eastAsia" w:ascii="文星标宋" w:hAnsi="文星标宋" w:eastAsia="文星标宋"/>
                                <w:color w:val="FF0000"/>
                                <w:sz w:val="52"/>
                              </w:rPr>
                            </w:pPr>
                            <w:r>
                              <w:rPr>
                                <w:rFonts w:hint="eastAsia" w:ascii="文星标宋" w:hAnsi="文星标宋" w:eastAsia="文星标宋"/>
                                <w:color w:val="FF0000"/>
                                <w:sz w:val="52"/>
                              </w:rPr>
                              <w:t>天津市红桥区人民政府政务服务办公室</w:t>
                            </w:r>
                          </w:p>
                        </w:txbxContent>
                      </wps:txbx>
                      <wps:bodyPr rot="0" vert="horz" wrap="square" lIns="0" tIns="0" rIns="0" bIns="0" anchor="t" anchorCtr="0" upright="1">
                        <a:noAutofit/>
                      </wps:bodyPr>
                    </wps:wsp>
                  </a:graphicData>
                </a:graphic>
              </wp:anchor>
            </w:drawing>
          </mc:Choice>
          <mc:Fallback>
            <w:pict>
              <v:shape id="文本框 20" o:spid="_x0000_s1026" o:spt="202" type="#_x0000_t202" style="position:absolute;left:0pt;margin-left:4.5pt;margin-top:82.2pt;height:57.9pt;width:441pt;mso-position-vertical-relative:page;z-index:251659264;mso-width-relative:page;mso-height-relative:page;" filled="f" stroked="f" coordsize="21600,21600" o:gfxdata="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GGt3tgAAAAJAQAADwAAAAAAAAABACAAAAAiAAAAZHJzL2Rvd25yZXYueG1sUEsBAhQA&#10;FAAAAAgAh07iQGQzUqDyAQAA1gMAAA4AAAAAAAAAAQAgAAAAJwEAAGRycy9lMm9Eb2MueG1sUEsF&#10;BgAAAAAGAAYAWQEAAIsFAAAAAA==&#10;">
                <v:fill on="f" focussize="0,0"/>
                <v:stroke on="f"/>
                <v:imagedata o:title=""/>
                <o:lock v:ext="edit" aspectratio="f"/>
                <v:textbox inset="0mm,0mm,0mm,0mm">
                  <w:txbxContent>
                    <w:p>
                      <w:pPr>
                        <w:spacing w:line="0" w:lineRule="atLeast"/>
                        <w:jc w:val="distribute"/>
                        <w:rPr>
                          <w:rFonts w:hint="eastAsia" w:ascii="文星标宋" w:hAnsi="文星标宋" w:eastAsia="文星标宋"/>
                          <w:color w:val="FF0000"/>
                          <w:sz w:val="52"/>
                        </w:rPr>
                      </w:pPr>
                      <w:r>
                        <w:rPr>
                          <w:rFonts w:hint="eastAsia" w:ascii="文星标宋" w:hAnsi="文星标宋" w:eastAsia="文星标宋"/>
                          <w:color w:val="FF0000"/>
                          <w:sz w:val="52"/>
                        </w:rPr>
                        <w:t>天津市红桥区人民政府政务服务办公室</w:t>
                      </w:r>
                    </w:p>
                  </w:txbxContent>
                </v:textbox>
                <w10:anchorlock/>
              </v:shape>
            </w:pict>
          </mc:Fallback>
        </mc:AlternateContent>
      </w:r>
    </w:p>
    <w:p>
      <w:pPr>
        <w:rPr>
          <w:rFonts w:hint="eastAsia" w:ascii="文星仿宋" w:eastAsia="文星仿宋"/>
          <w:sz w:val="24"/>
          <w:szCs w:val="24"/>
        </w:rPr>
      </w:pPr>
      <w:r>
        <w:rPr>
          <w:rFonts w:hint="eastAsia" w:ascii="文星仿宋" w:eastAsia="文星仿宋"/>
          <w:sz w:val="24"/>
          <w:szCs w:val="24"/>
          <w:lang w:val="en-US" w:eastAsia="zh-CN"/>
        </w:rPr>
        <w:t>天津新阶层华鼎医院有限公司</w:t>
      </w:r>
      <w:r>
        <w:rPr>
          <w:rFonts w:hint="eastAsia" w:ascii="文星仿宋" w:eastAsia="文星仿宋"/>
          <w:sz w:val="24"/>
          <w:szCs w:val="24"/>
        </w:rPr>
        <w:t>：</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你公司提供的《建设项目环境影响报告表》等材料收悉，经研究，现批复如下：</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一、项目概况：</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天津新阶层华鼎医院有限公司拟投资2000万元人民币建设为一级医院，住院床位22张，门诊量约200人/d，设立内科、外科、妇科、眼科、耳鼻喉科、医学检验科、医学影像科（辐射医疗设备不在本次环评范围内）以及中医科。项目租赁房屋位于天津市红桥区张自忠路3号海河华鼎商场L100-111、L201-222、L231-233、L237-239号商铺1、2层的部分区域，租赁建筑面积为3995平方米。项目不设食堂（仅配餐）；不设洗衣房，医院职工服、病房床单被罩、病人服等委托外单位清洗；化验室不涉及放射性实验，且均使用一次性检验试剂盒；不设置煎药房。</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项目符合国家产业政策、地区规划等要求。2022年</w:t>
      </w:r>
      <w:r>
        <w:rPr>
          <w:rFonts w:hint="eastAsia" w:ascii="文星仿宋" w:eastAsia="文星仿宋" w:cs="Times New Roman"/>
          <w:sz w:val="24"/>
          <w:szCs w:val="24"/>
          <w:lang w:val="en-US" w:eastAsia="zh-CN"/>
        </w:rPr>
        <w:t>9</w:t>
      </w:r>
      <w:r>
        <w:rPr>
          <w:rFonts w:hint="eastAsia" w:ascii="文星仿宋" w:hAnsi="Times New Roman" w:eastAsia="文星仿宋" w:cs="Times New Roman"/>
          <w:sz w:val="24"/>
          <w:szCs w:val="24"/>
          <w:lang w:val="en-US" w:eastAsia="zh-CN"/>
        </w:rPr>
        <w:t>月</w:t>
      </w:r>
      <w:r>
        <w:rPr>
          <w:rFonts w:hint="eastAsia" w:ascii="文星仿宋" w:eastAsia="文星仿宋" w:cs="Times New Roman"/>
          <w:sz w:val="24"/>
          <w:szCs w:val="24"/>
          <w:lang w:val="en-US" w:eastAsia="zh-CN"/>
        </w:rPr>
        <w:t>5</w:t>
      </w:r>
      <w:r>
        <w:rPr>
          <w:rFonts w:hint="eastAsia" w:ascii="文星仿宋" w:hAnsi="Times New Roman" w:eastAsia="文星仿宋" w:cs="Times New Roman"/>
          <w:sz w:val="24"/>
          <w:szCs w:val="24"/>
          <w:lang w:val="en-US" w:eastAsia="zh-CN"/>
        </w:rPr>
        <w:t>日至2022年</w:t>
      </w:r>
      <w:r>
        <w:rPr>
          <w:rFonts w:hint="eastAsia" w:ascii="文星仿宋" w:eastAsia="文星仿宋" w:cs="Times New Roman"/>
          <w:sz w:val="24"/>
          <w:szCs w:val="24"/>
          <w:lang w:val="en-US" w:eastAsia="zh-CN"/>
        </w:rPr>
        <w:t>9</w:t>
      </w:r>
      <w:r>
        <w:rPr>
          <w:rFonts w:hint="eastAsia" w:ascii="文星仿宋" w:hAnsi="Times New Roman" w:eastAsia="文星仿宋" w:cs="Times New Roman"/>
          <w:sz w:val="24"/>
          <w:szCs w:val="24"/>
          <w:lang w:val="en-US" w:eastAsia="zh-CN"/>
        </w:rPr>
        <w:t>月9日，我办将该项目环境影响报告表全本在红桥政务网上进行了公示。在你公司确保项目环境影响报告表中提出的各项环保措施落实的前提下，我办同意你公司按照环境影响报告表中所列建设项目的性质、规模、地点、采取的环境保护措施进行项目建设。</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二、项目建设和运营过程中应对照建设项目环境影响报告表，认真落实各项污染防治措施，并重点做好以下工作：</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1.项目</w:t>
      </w:r>
      <w:bookmarkStart w:id="0" w:name="_GoBack"/>
      <w:bookmarkEnd w:id="0"/>
      <w:r>
        <w:rPr>
          <w:rFonts w:hint="eastAsia" w:ascii="文星仿宋" w:hAnsi="Times New Roman" w:eastAsia="文星仿宋" w:cs="Times New Roman"/>
          <w:sz w:val="24"/>
          <w:szCs w:val="24"/>
          <w:lang w:val="en-US" w:eastAsia="zh-CN"/>
        </w:rPr>
        <w:t>运营过程中产生的废气主要为污水处理站产生的异味，地上一体化污水处理设备经设备顶部排气孔连接活性炭吸附设备，经活性炭吸附设施净化处理后经引风机引至厂界外东北侧无组织排放。</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2.项目运营过程产生的医疗废水经新建污水处理站处理，主要采用“过滤+缺氧+好氧+沉淀+消毒”的处理工艺。生活污水经排水管道同医疗器械消毒废水、检测及手术废水、排浓水及地面清洁废水进入医院新建污水处理站处理，依托化粪池静置沉淀后，排入市政污水管网，最终进入东郊污水处理厂集中处理。</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3.项目运营期主要噪声源为污水处理站水泵、污水处理站加药泵、废气治理设备风机，为减少设备噪声对厂界的影响，建设单位拟采取相应的隔声减振措施，包括厂房隔声、基础减振、隔声罩等。</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4.项目运营期产生的固体废物中，一般固废为药品、器材拆包产生的废包装物以及纯水制备过程产生的废离子交换树脂，暂存于一般固废间暂存后委托物资回收部门定期清运处理；危险废物为治疗检查过程中产生的感染性废物、手术过程中产生的病理性废物、手术诊疗过程中产生的损伤性废物、药房产生的废弃药品、污水站产生的污泥栅渣、污水处理站废气治理设施产生的废活性炭暂、废UV灯管等，存于危废间暂存，定期交由资质单位清运处理。生活垃圾委托红桥区城管委定期清运。</w:t>
      </w:r>
    </w:p>
    <w:p>
      <w:pPr>
        <w:ind w:firstLine="472" w:firstLineChars="200"/>
        <w:rPr>
          <w:rFonts w:hint="eastAsia" w:ascii="文星仿宋" w:eastAsia="文星仿宋"/>
          <w:sz w:val="24"/>
          <w:szCs w:val="24"/>
          <w:lang w:val="en-GB" w:eastAsia="zh-CN"/>
        </w:rPr>
      </w:pPr>
      <w:r>
        <w:rPr>
          <w:rFonts w:hint="eastAsia" w:ascii="文星仿宋" w:hAnsi="Times New Roman" w:eastAsia="文星仿宋" w:cs="Times New Roman"/>
          <w:sz w:val="24"/>
          <w:szCs w:val="24"/>
          <w:lang w:val="en-GB" w:eastAsia="zh-CN"/>
        </w:rPr>
        <w:t>三、项目需要配套建设的环境保护</w:t>
      </w:r>
      <w:r>
        <w:rPr>
          <w:rFonts w:hint="eastAsia" w:ascii="文星仿宋" w:eastAsia="文星仿宋"/>
          <w:sz w:val="24"/>
          <w:szCs w:val="24"/>
          <w:lang w:val="en-GB" w:eastAsia="zh-CN"/>
        </w:rPr>
        <w:t>设施，必须与主体工程同时设计、同时施工、同时投产使用。</w:t>
      </w:r>
    </w:p>
    <w:p>
      <w:pPr>
        <w:ind w:firstLine="472" w:firstLineChars="200"/>
        <w:rPr>
          <w:rFonts w:hint="eastAsia" w:ascii="文星仿宋" w:eastAsia="文星仿宋"/>
          <w:sz w:val="24"/>
          <w:szCs w:val="24"/>
          <w:lang w:val="en-GB" w:eastAsia="zh-CN"/>
        </w:rPr>
      </w:pPr>
      <w:r>
        <w:rPr>
          <w:rFonts w:hint="eastAsia" w:ascii="文星仿宋" w:eastAsia="文星仿宋"/>
          <w:sz w:val="24"/>
          <w:szCs w:val="24"/>
          <w:lang w:val="en-GB" w:eastAsia="zh-CN"/>
        </w:rPr>
        <w:t>四、加强施工管理，强化责任意识，建立健全相应的环境管理制度，制定事故应急预案，落实环境风险防范措施，确保项目施工期和运营期的环境安全。加强公众沟通和科普宣传，及时解决公众提出的合理环境诉求，及时公开项目建设与环境保护信息，主动接受社会监督。</w:t>
      </w:r>
    </w:p>
    <w:p>
      <w:pPr>
        <w:ind w:firstLine="472" w:firstLineChars="200"/>
        <w:rPr>
          <w:rFonts w:hint="eastAsia" w:ascii="文星仿宋" w:eastAsia="文星仿宋"/>
          <w:sz w:val="24"/>
          <w:szCs w:val="24"/>
          <w:lang w:val="en-GB" w:eastAsia="zh-CN"/>
        </w:rPr>
      </w:pPr>
      <w:r>
        <w:rPr>
          <w:rFonts w:hint="eastAsia" w:ascii="文星仿宋" w:eastAsia="文星仿宋"/>
          <w:sz w:val="24"/>
          <w:szCs w:val="24"/>
          <w:lang w:val="en-GB" w:eastAsia="zh-CN"/>
        </w:rPr>
        <w:t>五、该项目的环境影响评价文件经批准后，如项目的性质、规模、地点、生产工艺或者防治污染、防止生态破坏的措施发生重大变动的，建设单位应当在开工建设之前重新报批本项目的环境影响评价文件。项目环境影响评价文件自批准之日起超过五年，方决定该项目开工建设的，其环境影响评价文件应当报我办重新审核。</w:t>
      </w:r>
    </w:p>
    <w:p>
      <w:pPr>
        <w:ind w:firstLine="472" w:firstLineChars="200"/>
        <w:rPr>
          <w:rFonts w:hint="eastAsia" w:ascii="文星仿宋" w:hAnsi="Times New Roman" w:eastAsia="文星仿宋" w:cs="Times New Roman"/>
          <w:sz w:val="24"/>
          <w:szCs w:val="24"/>
          <w:lang w:val="en-GB" w:eastAsia="zh-CN"/>
        </w:rPr>
      </w:pPr>
      <w:r>
        <w:rPr>
          <w:rFonts w:hint="eastAsia" w:ascii="文星仿宋" w:hAnsi="Times New Roman" w:eastAsia="文星仿宋" w:cs="Times New Roman"/>
          <w:sz w:val="24"/>
          <w:szCs w:val="24"/>
          <w:lang w:val="en-GB" w:eastAsia="zh-CN"/>
        </w:rPr>
        <w:t>六、项目竣工后，你</w:t>
      </w:r>
      <w:r>
        <w:rPr>
          <w:rFonts w:hint="eastAsia" w:ascii="文星仿宋" w:hAnsi="Times New Roman" w:eastAsia="文星仿宋" w:cs="Times New Roman"/>
          <w:sz w:val="24"/>
          <w:szCs w:val="24"/>
          <w:lang w:val="en-US" w:eastAsia="zh-CN"/>
        </w:rPr>
        <w:t>公司</w:t>
      </w:r>
      <w:r>
        <w:rPr>
          <w:rFonts w:hint="eastAsia" w:ascii="文星仿宋" w:hAnsi="Times New Roman" w:eastAsia="文星仿宋" w:cs="Times New Roman"/>
          <w:sz w:val="24"/>
          <w:szCs w:val="24"/>
          <w:lang w:val="en-GB" w:eastAsia="zh-CN"/>
        </w:rPr>
        <w:t>应当按照国务院生态环境主管部门规定的标准和程序开展竣工环境保护验收工作，经验收合格，项目方可投入生产。</w:t>
      </w:r>
    </w:p>
    <w:p>
      <w:pPr>
        <w:ind w:firstLine="472" w:firstLineChars="200"/>
        <w:rPr>
          <w:rFonts w:hint="eastAsia" w:ascii="文星仿宋" w:hAnsi="Times New Roman" w:eastAsia="文星仿宋" w:cs="Times New Roman"/>
          <w:sz w:val="24"/>
          <w:szCs w:val="24"/>
          <w:lang w:val="en-GB" w:eastAsia="zh-CN"/>
        </w:rPr>
      </w:pPr>
      <w:r>
        <w:rPr>
          <w:rFonts w:hint="eastAsia" w:ascii="文星仿宋" w:hAnsi="Times New Roman" w:eastAsia="文星仿宋" w:cs="Times New Roman"/>
          <w:sz w:val="24"/>
          <w:szCs w:val="24"/>
          <w:lang w:val="en-GB" w:eastAsia="zh-CN"/>
        </w:rPr>
        <w:t>七、执行主要环境标准：</w:t>
      </w:r>
    </w:p>
    <w:p>
      <w:pPr>
        <w:ind w:firstLine="472" w:firstLineChars="200"/>
        <w:rPr>
          <w:rFonts w:hint="eastAsia" w:ascii="文星仿宋" w:hAnsi="Times New Roman" w:eastAsia="文星仿宋" w:cs="Times New Roman"/>
          <w:sz w:val="24"/>
          <w:szCs w:val="24"/>
          <w:lang w:val="en-GB" w:eastAsia="zh-CN"/>
        </w:rPr>
      </w:pPr>
      <w:r>
        <w:rPr>
          <w:rFonts w:hint="eastAsia" w:ascii="文星仿宋" w:hAnsi="Times New Roman" w:eastAsia="文星仿宋" w:cs="Times New Roman"/>
          <w:sz w:val="24"/>
          <w:szCs w:val="24"/>
          <w:lang w:val="en-US" w:eastAsia="zh-CN"/>
        </w:rPr>
        <w:t>1.</w:t>
      </w:r>
      <w:r>
        <w:rPr>
          <w:rFonts w:hint="eastAsia" w:ascii="文星仿宋" w:hAnsi="Times New Roman" w:eastAsia="文星仿宋" w:cs="Times New Roman"/>
          <w:sz w:val="24"/>
          <w:szCs w:val="24"/>
          <w:lang w:val="en-GB" w:eastAsia="zh-CN"/>
        </w:rPr>
        <w:t>《污水综合排放标准》DB12/356-2018（三级）</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2.《医疗机构水污染物排放标准》GB18466-2005</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3.《恶臭污染物排放标准》DB12/059-2018</w:t>
      </w:r>
    </w:p>
    <w:p>
      <w:pPr>
        <w:ind w:firstLine="472" w:firstLineChars="200"/>
        <w:rPr>
          <w:rFonts w:hint="eastAsia" w:ascii="文星仿宋" w:hAnsi="Times New Roman" w:eastAsia="文星仿宋" w:cs="Times New Roman"/>
          <w:sz w:val="24"/>
          <w:szCs w:val="24"/>
          <w:lang w:val="en-US" w:eastAsia="zh-CN"/>
        </w:rPr>
      </w:pPr>
      <w:r>
        <w:rPr>
          <w:rFonts w:hint="eastAsia" w:ascii="文星仿宋" w:eastAsia="文星仿宋" w:cs="Times New Roman"/>
          <w:sz w:val="24"/>
          <w:szCs w:val="24"/>
          <w:lang w:val="en-US" w:eastAsia="zh-CN"/>
        </w:rPr>
        <w:t>4.</w:t>
      </w:r>
      <w:r>
        <w:rPr>
          <w:rFonts w:hint="eastAsia" w:ascii="文星仿宋" w:hAnsi="Times New Roman" w:eastAsia="文星仿宋" w:cs="Times New Roman"/>
          <w:sz w:val="24"/>
          <w:szCs w:val="24"/>
          <w:lang w:val="en-US" w:eastAsia="zh-CN"/>
        </w:rPr>
        <w:t>《建筑施工场界环境噪声排放标准》</w:t>
      </w:r>
    </w:p>
    <w:p>
      <w:pPr>
        <w:ind w:firstLine="472" w:firstLineChars="200"/>
        <w:rPr>
          <w:rFonts w:hint="eastAsia"/>
          <w:lang w:val="en-GB" w:eastAsia="zh-CN"/>
        </w:rPr>
      </w:pPr>
      <w:r>
        <w:rPr>
          <w:rFonts w:hint="eastAsia" w:ascii="文星仿宋" w:eastAsia="文星仿宋" w:cs="Times New Roman"/>
          <w:sz w:val="24"/>
          <w:szCs w:val="24"/>
          <w:lang w:val="en-US" w:eastAsia="zh-CN"/>
        </w:rPr>
        <w:t>5</w:t>
      </w:r>
      <w:r>
        <w:rPr>
          <w:rFonts w:hint="eastAsia" w:ascii="文星仿宋" w:hAnsi="Times New Roman" w:eastAsia="文星仿宋" w:cs="Times New Roman"/>
          <w:sz w:val="24"/>
          <w:szCs w:val="24"/>
          <w:lang w:val="en-US" w:eastAsia="zh-CN"/>
        </w:rPr>
        <w:t>.《工业企业厂界环境噪声排放标准》GB12348-2008（2类）</w:t>
      </w:r>
    </w:p>
    <w:p>
      <w:pPr>
        <w:ind w:firstLine="472" w:firstLineChars="200"/>
        <w:rPr>
          <w:rFonts w:hint="eastAsia" w:ascii="文星仿宋" w:hAnsi="Times New Roman" w:eastAsia="文星仿宋" w:cs="Times New Roman"/>
          <w:sz w:val="24"/>
          <w:szCs w:val="24"/>
          <w:lang w:val="en-GB" w:eastAsia="zh-CN"/>
        </w:rPr>
      </w:pPr>
      <w:r>
        <w:rPr>
          <w:rFonts w:hint="eastAsia" w:ascii="文星仿宋" w:eastAsia="文星仿宋" w:cs="Times New Roman"/>
          <w:sz w:val="24"/>
          <w:szCs w:val="24"/>
          <w:lang w:val="en-US" w:eastAsia="zh-CN"/>
        </w:rPr>
        <w:t>6</w:t>
      </w:r>
      <w:r>
        <w:rPr>
          <w:rFonts w:hint="eastAsia" w:ascii="文星仿宋" w:hAnsi="Times New Roman" w:eastAsia="文星仿宋" w:cs="Times New Roman"/>
          <w:sz w:val="24"/>
          <w:szCs w:val="24"/>
          <w:lang w:val="en-US" w:eastAsia="zh-CN"/>
        </w:rPr>
        <w:t>.</w:t>
      </w:r>
      <w:r>
        <w:rPr>
          <w:rFonts w:hint="eastAsia" w:ascii="文星仿宋" w:hAnsi="Times New Roman" w:eastAsia="文星仿宋" w:cs="Times New Roman"/>
          <w:sz w:val="24"/>
          <w:szCs w:val="24"/>
          <w:lang w:val="en-GB" w:eastAsia="zh-CN"/>
        </w:rPr>
        <w:t>《一般工业固体废物贮存和填埋污染控制标准》GB18599-2020</w:t>
      </w:r>
    </w:p>
    <w:p>
      <w:pPr>
        <w:ind w:firstLine="472" w:firstLineChars="200"/>
        <w:rPr>
          <w:rFonts w:hint="eastAsia" w:ascii="文星仿宋" w:hAnsi="Times New Roman" w:eastAsia="文星仿宋" w:cs="Times New Roman"/>
          <w:sz w:val="24"/>
          <w:szCs w:val="24"/>
          <w:lang w:val="en-GB" w:eastAsia="zh-CN"/>
        </w:rPr>
      </w:pPr>
      <w:r>
        <w:rPr>
          <w:rFonts w:hint="eastAsia" w:ascii="文星仿宋" w:eastAsia="文星仿宋" w:cs="Times New Roman"/>
          <w:sz w:val="24"/>
          <w:szCs w:val="24"/>
          <w:lang w:val="en-US" w:eastAsia="zh-CN"/>
        </w:rPr>
        <w:t>7</w:t>
      </w:r>
      <w:r>
        <w:rPr>
          <w:rFonts w:hint="eastAsia" w:ascii="文星仿宋" w:hAnsi="Times New Roman" w:eastAsia="文星仿宋" w:cs="Times New Roman"/>
          <w:sz w:val="24"/>
          <w:szCs w:val="24"/>
          <w:lang w:val="en-US" w:eastAsia="zh-CN"/>
        </w:rPr>
        <w:t>.</w:t>
      </w:r>
      <w:r>
        <w:rPr>
          <w:rFonts w:hint="eastAsia" w:ascii="文星仿宋" w:hAnsi="Times New Roman" w:eastAsia="文星仿宋" w:cs="Times New Roman"/>
          <w:sz w:val="24"/>
          <w:szCs w:val="24"/>
          <w:lang w:val="en-GB" w:eastAsia="zh-CN"/>
        </w:rPr>
        <w:t>《危险废物贮存污染控制标准》GB18597-2001</w:t>
      </w:r>
    </w:p>
    <w:p>
      <w:pPr>
        <w:ind w:firstLine="472" w:firstLineChars="200"/>
        <w:rPr>
          <w:rFonts w:hint="eastAsia" w:ascii="文星仿宋" w:hAnsi="Times New Roman" w:eastAsia="文星仿宋" w:cs="Times New Roman"/>
          <w:sz w:val="24"/>
          <w:szCs w:val="24"/>
          <w:lang w:val="en-US" w:eastAsia="zh-CN"/>
        </w:rPr>
      </w:pPr>
      <w:r>
        <w:rPr>
          <w:rFonts w:hint="eastAsia" w:ascii="文星仿宋" w:eastAsia="文星仿宋" w:cs="Times New Roman"/>
          <w:sz w:val="24"/>
          <w:szCs w:val="24"/>
          <w:lang w:val="en-US" w:eastAsia="zh-CN"/>
        </w:rPr>
        <w:t>8</w:t>
      </w:r>
      <w:r>
        <w:rPr>
          <w:rFonts w:hint="eastAsia" w:ascii="文星仿宋" w:hAnsi="Times New Roman" w:eastAsia="文星仿宋" w:cs="Times New Roman"/>
          <w:sz w:val="24"/>
          <w:szCs w:val="24"/>
          <w:lang w:val="en-US" w:eastAsia="zh-CN"/>
        </w:rPr>
        <w:t>.《危险废物收集、贮存、运输技术规范》HJ2025-2012</w:t>
      </w:r>
    </w:p>
    <w:p>
      <w:pPr>
        <w:ind w:firstLine="472" w:firstLineChars="200"/>
        <w:rPr>
          <w:rFonts w:hint="eastAsia" w:ascii="文星仿宋" w:hAnsi="Times New Roman" w:eastAsia="文星仿宋" w:cs="Times New Roman"/>
          <w:sz w:val="24"/>
          <w:szCs w:val="24"/>
          <w:lang w:val="en-US" w:eastAsia="zh-CN"/>
        </w:rPr>
      </w:pPr>
      <w:r>
        <w:rPr>
          <w:rFonts w:hint="eastAsia" w:ascii="文星仿宋" w:eastAsia="文星仿宋" w:cs="Times New Roman"/>
          <w:sz w:val="24"/>
          <w:szCs w:val="24"/>
          <w:lang w:val="en-US" w:eastAsia="zh-CN"/>
        </w:rPr>
        <w:t>9.</w:t>
      </w:r>
      <w:r>
        <w:rPr>
          <w:rFonts w:hint="eastAsia" w:ascii="文星仿宋" w:hAnsi="Times New Roman" w:eastAsia="文星仿宋" w:cs="Times New Roman"/>
          <w:sz w:val="24"/>
          <w:szCs w:val="24"/>
          <w:lang w:val="en-US" w:eastAsia="zh-CN"/>
        </w:rPr>
        <w:t>《危险废物污染防治技术政策》</w:t>
      </w:r>
    </w:p>
    <w:p>
      <w:pPr>
        <w:ind w:firstLine="472" w:firstLineChars="200"/>
        <w:rPr>
          <w:rFonts w:hint="eastAsia" w:ascii="文星仿宋" w:hAnsi="Times New Roman" w:eastAsia="文星仿宋" w:cs="Times New Roman"/>
          <w:sz w:val="24"/>
          <w:szCs w:val="24"/>
          <w:lang w:val="en-US" w:eastAsia="zh-CN"/>
        </w:rPr>
      </w:pPr>
      <w:r>
        <w:rPr>
          <w:rFonts w:hint="eastAsia" w:ascii="文星仿宋" w:eastAsia="文星仿宋" w:cs="Times New Roman"/>
          <w:sz w:val="24"/>
          <w:szCs w:val="24"/>
          <w:lang w:val="en-US" w:eastAsia="zh-CN"/>
        </w:rPr>
        <w:t>10.</w:t>
      </w:r>
      <w:r>
        <w:rPr>
          <w:rFonts w:hint="eastAsia" w:ascii="文星仿宋" w:hAnsi="Times New Roman" w:eastAsia="文星仿宋" w:cs="Times New Roman"/>
          <w:sz w:val="24"/>
          <w:szCs w:val="24"/>
          <w:lang w:val="en-US" w:eastAsia="zh-CN"/>
        </w:rPr>
        <w:t>《危险废物转移联单管理办法》</w:t>
      </w:r>
    </w:p>
    <w:p>
      <w:pPr>
        <w:ind w:firstLine="472" w:firstLineChars="200"/>
        <w:rPr>
          <w:rFonts w:hint="eastAsia" w:ascii="文星仿宋" w:hAnsi="Times New Roman" w:eastAsia="文星仿宋" w:cs="Times New Roman"/>
          <w:sz w:val="24"/>
          <w:szCs w:val="24"/>
          <w:lang w:val="en-US" w:eastAsia="zh-CN"/>
        </w:rPr>
      </w:pPr>
      <w:r>
        <w:rPr>
          <w:rFonts w:hint="eastAsia" w:ascii="文星仿宋" w:eastAsia="文星仿宋" w:cs="Times New Roman"/>
          <w:sz w:val="24"/>
          <w:szCs w:val="24"/>
          <w:lang w:val="en-US" w:eastAsia="zh-CN"/>
        </w:rPr>
        <w:t>11.</w:t>
      </w:r>
      <w:r>
        <w:rPr>
          <w:rFonts w:hint="eastAsia" w:ascii="文星仿宋" w:hAnsi="Times New Roman" w:eastAsia="文星仿宋" w:cs="Times New Roman"/>
          <w:sz w:val="24"/>
          <w:szCs w:val="24"/>
          <w:lang w:val="en-US" w:eastAsia="zh-CN"/>
        </w:rPr>
        <w:t>《医疗废物管理条例》</w:t>
      </w:r>
    </w:p>
    <w:p>
      <w:pPr>
        <w:ind w:firstLine="472" w:firstLineChars="200"/>
        <w:rPr>
          <w:rFonts w:hint="eastAsia" w:ascii="文星仿宋" w:hAnsi="Times New Roman" w:eastAsia="文星仿宋" w:cs="Times New Roman"/>
          <w:sz w:val="24"/>
          <w:szCs w:val="24"/>
          <w:lang w:val="en-US" w:eastAsia="zh-CN"/>
        </w:rPr>
      </w:pPr>
      <w:r>
        <w:rPr>
          <w:rFonts w:hint="eastAsia" w:ascii="文星仿宋" w:eastAsia="文星仿宋" w:cs="Times New Roman"/>
          <w:sz w:val="24"/>
          <w:szCs w:val="24"/>
          <w:lang w:val="en-US" w:eastAsia="zh-CN"/>
        </w:rPr>
        <w:t>12.</w:t>
      </w:r>
      <w:r>
        <w:rPr>
          <w:rFonts w:hint="eastAsia" w:ascii="文星仿宋" w:hAnsi="Times New Roman" w:eastAsia="文星仿宋" w:cs="Times New Roman"/>
          <w:sz w:val="24"/>
          <w:szCs w:val="24"/>
          <w:lang w:val="en-US" w:eastAsia="zh-CN"/>
        </w:rPr>
        <w:t>《关于集中处置医疗废物意见的通知》</w:t>
      </w:r>
    </w:p>
    <w:p>
      <w:pPr>
        <w:ind w:firstLine="472" w:firstLineChars="200"/>
        <w:rPr>
          <w:rFonts w:hint="eastAsia" w:ascii="文星仿宋" w:hAnsi="Times New Roman" w:eastAsia="文星仿宋" w:cs="Times New Roman"/>
          <w:sz w:val="24"/>
          <w:szCs w:val="24"/>
          <w:lang w:val="en-US" w:eastAsia="zh-CN"/>
        </w:rPr>
      </w:pPr>
      <w:r>
        <w:rPr>
          <w:rFonts w:hint="eastAsia" w:ascii="文星仿宋" w:eastAsia="文星仿宋" w:cs="Times New Roman"/>
          <w:sz w:val="24"/>
          <w:szCs w:val="24"/>
          <w:lang w:val="en-US" w:eastAsia="zh-CN"/>
        </w:rPr>
        <w:t>13.</w:t>
      </w:r>
      <w:r>
        <w:rPr>
          <w:rFonts w:hint="eastAsia" w:ascii="文星仿宋" w:hAnsi="Times New Roman" w:eastAsia="文星仿宋" w:cs="Times New Roman"/>
          <w:sz w:val="24"/>
          <w:szCs w:val="24"/>
          <w:lang w:val="en-US" w:eastAsia="zh-CN"/>
        </w:rPr>
        <w:t>《医疗废物集中处置技术规范（试行）》</w:t>
      </w:r>
    </w:p>
    <w:p>
      <w:pPr>
        <w:ind w:firstLine="472" w:firstLineChars="200"/>
        <w:rPr>
          <w:rFonts w:hint="eastAsia" w:ascii="文星仿宋" w:hAnsi="Times New Roman" w:eastAsia="文星仿宋" w:cs="Times New Roman"/>
          <w:sz w:val="24"/>
          <w:szCs w:val="24"/>
          <w:lang w:val="en-US" w:eastAsia="zh-CN"/>
        </w:rPr>
      </w:pPr>
      <w:r>
        <w:rPr>
          <w:rFonts w:hint="eastAsia" w:ascii="文星仿宋" w:eastAsia="文星仿宋" w:cs="Times New Roman"/>
          <w:sz w:val="24"/>
          <w:szCs w:val="24"/>
          <w:lang w:val="en-US" w:eastAsia="zh-CN"/>
        </w:rPr>
        <w:t>14.</w:t>
      </w:r>
      <w:r>
        <w:rPr>
          <w:rFonts w:hint="eastAsia" w:ascii="文星仿宋" w:hAnsi="Times New Roman" w:eastAsia="文星仿宋" w:cs="Times New Roman"/>
          <w:sz w:val="24"/>
          <w:szCs w:val="24"/>
          <w:lang w:val="en-US" w:eastAsia="zh-CN"/>
        </w:rPr>
        <w:t>《中华人民共和国固体废物污染环境防治法》</w:t>
      </w:r>
    </w:p>
    <w:p>
      <w:pPr>
        <w:ind w:firstLine="472" w:firstLineChars="200"/>
        <w:rPr>
          <w:rFonts w:hint="eastAsia" w:ascii="文星仿宋" w:hAnsi="Times New Roman" w:eastAsia="文星仿宋" w:cs="Times New Roman"/>
          <w:sz w:val="24"/>
          <w:szCs w:val="24"/>
          <w:lang w:val="en-US" w:eastAsia="zh-CN"/>
        </w:rPr>
      </w:pPr>
      <w:r>
        <w:rPr>
          <w:rFonts w:hint="eastAsia" w:ascii="文星仿宋" w:eastAsia="文星仿宋" w:cs="Times New Roman"/>
          <w:sz w:val="24"/>
          <w:szCs w:val="24"/>
          <w:lang w:val="en-US" w:eastAsia="zh-CN"/>
        </w:rPr>
        <w:t>15.</w:t>
      </w:r>
      <w:r>
        <w:rPr>
          <w:rFonts w:hint="eastAsia" w:ascii="文星仿宋" w:hAnsi="Times New Roman" w:eastAsia="文星仿宋" w:cs="Times New Roman"/>
          <w:sz w:val="24"/>
          <w:szCs w:val="24"/>
          <w:lang w:val="en-US" w:eastAsia="zh-CN"/>
        </w:rPr>
        <w:t>《天津市生活垃圾管理条例》</w:t>
      </w:r>
    </w:p>
    <w:p>
      <w:pPr>
        <w:ind w:firstLine="472" w:firstLineChars="200"/>
        <w:rPr>
          <w:rFonts w:hint="eastAsia" w:ascii="文星仿宋" w:hAnsi="Times New Roman" w:eastAsia="文星仿宋" w:cs="Times New Roman"/>
          <w:sz w:val="24"/>
          <w:szCs w:val="24"/>
          <w:lang w:val="en-US" w:eastAsia="zh-CN"/>
        </w:rPr>
      </w:pPr>
      <w:r>
        <w:rPr>
          <w:rFonts w:hint="eastAsia" w:ascii="文星仿宋" w:eastAsia="文星仿宋" w:cs="Times New Roman"/>
          <w:sz w:val="24"/>
          <w:szCs w:val="24"/>
          <w:lang w:val="en-US" w:eastAsia="zh-CN"/>
        </w:rPr>
        <w:t>16</w:t>
      </w:r>
      <w:r>
        <w:rPr>
          <w:rFonts w:hint="eastAsia" w:ascii="文星仿宋" w:hAnsi="Times New Roman" w:eastAsia="文星仿宋" w:cs="Times New Roman"/>
          <w:sz w:val="24"/>
          <w:szCs w:val="24"/>
          <w:lang w:val="en-US" w:eastAsia="zh-CN"/>
        </w:rPr>
        <w:t>.《天津市生活垃圾管理条例》</w:t>
      </w:r>
    </w:p>
    <w:p>
      <w:pPr>
        <w:rPr>
          <w:rFonts w:hint="eastAsia" w:ascii="文星仿宋" w:eastAsia="文星仿宋"/>
          <w:sz w:val="24"/>
          <w:szCs w:val="24"/>
        </w:rPr>
      </w:pPr>
    </w:p>
    <w:p>
      <w:pPr>
        <w:rPr>
          <w:rFonts w:hint="eastAsia" w:ascii="文星仿宋" w:eastAsia="文星仿宋"/>
          <w:sz w:val="24"/>
          <w:szCs w:val="24"/>
        </w:rPr>
      </w:pPr>
    </w:p>
    <w:p>
      <w:pPr>
        <w:rPr>
          <w:rFonts w:hint="eastAsia" w:ascii="文星仿宋" w:eastAsia="文星仿宋"/>
          <w:sz w:val="28"/>
          <w:szCs w:val="28"/>
        </w:rPr>
      </w:pPr>
      <w:r>
        <w:rPr>
          <w:rFonts w:hint="eastAsia" w:ascii="文星仿宋" w:eastAsia="文星仿宋"/>
          <w:sz w:val="24"/>
          <w:szCs w:val="24"/>
        </w:rPr>
        <w:t xml:space="preserve">                                      </w:t>
      </w:r>
      <w:r>
        <w:rPr>
          <w:rFonts w:hint="eastAsia" w:ascii="文星仿宋" w:eastAsia="文星仿宋"/>
          <w:sz w:val="24"/>
          <w:szCs w:val="24"/>
          <w:lang w:val="en-US" w:eastAsia="zh-CN"/>
        </w:rPr>
        <w:t xml:space="preserve">    </w:t>
      </w:r>
      <w:r>
        <w:rPr>
          <w:rFonts w:hint="eastAsia" w:ascii="文星仿宋" w:eastAsia="文星仿宋"/>
          <w:sz w:val="24"/>
          <w:szCs w:val="24"/>
        </w:rPr>
        <w:t xml:space="preserve"> </w:t>
      </w:r>
      <w:r>
        <w:rPr>
          <w:rFonts w:hint="eastAsia" w:ascii="文星仿宋" w:eastAsia="文星仿宋"/>
          <w:sz w:val="24"/>
          <w:szCs w:val="24"/>
          <w:lang w:val="en-US" w:eastAsia="zh-CN"/>
        </w:rPr>
        <w:t xml:space="preserve">        </w:t>
      </w:r>
      <w:r>
        <w:rPr>
          <w:rFonts w:hint="eastAsia" w:ascii="文星仿宋" w:eastAsia="文星仿宋"/>
          <w:sz w:val="24"/>
          <w:szCs w:val="24"/>
        </w:rPr>
        <w:t xml:space="preserve"> 2022年</w:t>
      </w:r>
      <w:r>
        <w:rPr>
          <w:rFonts w:hint="eastAsia" w:ascii="文星仿宋" w:eastAsia="文星仿宋"/>
          <w:sz w:val="24"/>
          <w:szCs w:val="24"/>
          <w:lang w:val="en-US" w:eastAsia="zh-CN"/>
        </w:rPr>
        <w:t>9</w:t>
      </w:r>
      <w:r>
        <w:rPr>
          <w:rFonts w:hint="eastAsia" w:ascii="文星仿宋" w:eastAsia="文星仿宋"/>
          <w:sz w:val="24"/>
          <w:szCs w:val="24"/>
        </w:rPr>
        <w:t>月</w:t>
      </w:r>
      <w:r>
        <w:rPr>
          <w:rFonts w:hint="eastAsia" w:ascii="文星仿宋" w:eastAsia="文星仿宋"/>
          <w:sz w:val="24"/>
          <w:szCs w:val="24"/>
          <w:lang w:val="en-US" w:eastAsia="zh-CN"/>
        </w:rPr>
        <w:t>21</w:t>
      </w:r>
      <w:r>
        <w:rPr>
          <w:rFonts w:hint="eastAsia" w:ascii="文星仿宋" w:eastAsia="文星仿宋"/>
          <w:sz w:val="24"/>
          <w:szCs w:val="24"/>
        </w:rPr>
        <w:t>日</w:t>
      </w:r>
    </w:p>
    <w:sectPr>
      <w:footerReference r:id="rId3" w:type="default"/>
      <w:footerReference r:id="rId4" w:type="even"/>
      <w:pgSz w:w="11906" w:h="16838"/>
      <w:pgMar w:top="1418" w:right="1474" w:bottom="1474" w:left="1418" w:header="851" w:footer="1418"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黑体"/>
    <w:panose1 w:val="020B0604020202020204"/>
    <w:charset w:val="86"/>
    <w:family w:val="script"/>
    <w:pitch w:val="default"/>
    <w:sig w:usb0="00000000" w:usb1="00000000" w:usb2="00000010" w:usb3="00000000" w:csb0="00040000" w:csb1="00000000"/>
  </w:font>
  <w:font w:name="文星仿宋">
    <w:panose1 w:val="0201060900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文星标宋">
    <w:panose1 w:val="0201060900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left="320" w:leftChars="100" w:right="320" w:rightChars="100"/>
      <w:rPr>
        <w:rStyle w:val="20"/>
        <w:rFonts w:ascii="宋体"/>
        <w:b/>
        <w:bCs/>
        <w:sz w:val="28"/>
      </w:rPr>
    </w:pPr>
    <w:r>
      <w:rPr>
        <w:rStyle w:val="20"/>
        <w:rFonts w:hint="eastAsia"/>
        <w:sz w:val="28"/>
      </w:rPr>
      <w:t>—</w:t>
    </w:r>
    <w:r>
      <w:rPr>
        <w:rStyle w:val="20"/>
        <w:sz w:val="28"/>
      </w:rPr>
      <w:t xml:space="preserve"> </w:t>
    </w:r>
    <w:r>
      <w:rPr>
        <w:sz w:val="28"/>
      </w:rPr>
      <w:fldChar w:fldCharType="begin"/>
    </w:r>
    <w:r>
      <w:rPr>
        <w:rStyle w:val="20"/>
        <w:sz w:val="28"/>
      </w:rPr>
      <w:instrText xml:space="preserve">PAGE  </w:instrText>
    </w:r>
    <w:r>
      <w:rPr>
        <w:sz w:val="28"/>
      </w:rPr>
      <w:fldChar w:fldCharType="separate"/>
    </w:r>
    <w:r>
      <w:rPr>
        <w:rStyle w:val="20"/>
        <w:sz w:val="28"/>
        <w:lang w:val="en-US" w:eastAsia="zh-CN"/>
      </w:rPr>
      <w:t>4</w:t>
    </w:r>
    <w:r>
      <w:rPr>
        <w:sz w:val="28"/>
      </w:rPr>
      <w:fldChar w:fldCharType="end"/>
    </w:r>
    <w:r>
      <w:rPr>
        <w:rStyle w:val="20"/>
        <w:sz w:val="28"/>
      </w:rPr>
      <w:t xml:space="preserve"> </w:t>
    </w:r>
    <w:r>
      <w:rPr>
        <w:rStyle w:val="20"/>
        <w:rFonts w:hint="eastAsia"/>
        <w:sz w:val="28"/>
      </w:rPr>
      <w:t>—</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fldChar w:fldCharType="begin"/>
    </w:r>
    <w:r>
      <w:rPr>
        <w:rStyle w:val="20"/>
      </w:rPr>
      <w:instrText xml:space="preserve">PAGE  </w:instrText>
    </w:r>
    <w:r>
      <w:fldChar w:fldCharType="separate"/>
    </w:r>
    <w:r>
      <w:rPr>
        <w:rStyle w:val="20"/>
        <w:lang w:val="en-US" w:eastAsia="zh-CN"/>
      </w:rPr>
      <w:t>1</w:t>
    </w:r>
    <w:r>
      <w:fldChar w:fldCharType="end"/>
    </w:r>
  </w:p>
  <w:p>
    <w:pPr>
      <w:pStyle w:val="1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315"/>
  <w:drawingGridVerticalSpacing w:val="5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3MjRiOWNiMzlmYTI5NDE0NzE0MTRiMmY3Y2EwNTMifQ=="/>
  </w:docVars>
  <w:rsids>
    <w:rsidRoot w:val="00AA4134"/>
    <w:rsid w:val="000132CB"/>
    <w:rsid w:val="00022CF0"/>
    <w:rsid w:val="000251DE"/>
    <w:rsid w:val="0003153B"/>
    <w:rsid w:val="000522BC"/>
    <w:rsid w:val="000549E2"/>
    <w:rsid w:val="00071B0C"/>
    <w:rsid w:val="0008201A"/>
    <w:rsid w:val="000919C5"/>
    <w:rsid w:val="00092E28"/>
    <w:rsid w:val="000A2746"/>
    <w:rsid w:val="000A551A"/>
    <w:rsid w:val="000A6DA5"/>
    <w:rsid w:val="000B231B"/>
    <w:rsid w:val="000B3E21"/>
    <w:rsid w:val="000B67D8"/>
    <w:rsid w:val="000C05F7"/>
    <w:rsid w:val="000C21DD"/>
    <w:rsid w:val="000C3791"/>
    <w:rsid w:val="000C42E8"/>
    <w:rsid w:val="000E2D63"/>
    <w:rsid w:val="000F6607"/>
    <w:rsid w:val="001042B8"/>
    <w:rsid w:val="00104E6C"/>
    <w:rsid w:val="0010538B"/>
    <w:rsid w:val="001057D8"/>
    <w:rsid w:val="001138AC"/>
    <w:rsid w:val="0012265C"/>
    <w:rsid w:val="001245D3"/>
    <w:rsid w:val="00125E96"/>
    <w:rsid w:val="001332E2"/>
    <w:rsid w:val="00135B72"/>
    <w:rsid w:val="00135FD4"/>
    <w:rsid w:val="00141409"/>
    <w:rsid w:val="0014243F"/>
    <w:rsid w:val="0014615D"/>
    <w:rsid w:val="00150BBE"/>
    <w:rsid w:val="001556E8"/>
    <w:rsid w:val="001648C3"/>
    <w:rsid w:val="00164CD5"/>
    <w:rsid w:val="001658ED"/>
    <w:rsid w:val="00165C29"/>
    <w:rsid w:val="00172FB5"/>
    <w:rsid w:val="001805D9"/>
    <w:rsid w:val="001818DB"/>
    <w:rsid w:val="00187A06"/>
    <w:rsid w:val="001A4352"/>
    <w:rsid w:val="001B0ABD"/>
    <w:rsid w:val="001B3407"/>
    <w:rsid w:val="001C54A5"/>
    <w:rsid w:val="001D3170"/>
    <w:rsid w:val="001E2B53"/>
    <w:rsid w:val="001E4C0F"/>
    <w:rsid w:val="001F154C"/>
    <w:rsid w:val="002003A0"/>
    <w:rsid w:val="0020099D"/>
    <w:rsid w:val="00201584"/>
    <w:rsid w:val="0020171E"/>
    <w:rsid w:val="00205B5C"/>
    <w:rsid w:val="00211B8E"/>
    <w:rsid w:val="002346CB"/>
    <w:rsid w:val="0024172C"/>
    <w:rsid w:val="00247F3C"/>
    <w:rsid w:val="00251C8E"/>
    <w:rsid w:val="00255C25"/>
    <w:rsid w:val="00263B30"/>
    <w:rsid w:val="00274C35"/>
    <w:rsid w:val="00281ED6"/>
    <w:rsid w:val="002A03D3"/>
    <w:rsid w:val="002B29FA"/>
    <w:rsid w:val="002B5EE9"/>
    <w:rsid w:val="002B7340"/>
    <w:rsid w:val="002B7FDA"/>
    <w:rsid w:val="002C18B9"/>
    <w:rsid w:val="002D4E6D"/>
    <w:rsid w:val="002D5521"/>
    <w:rsid w:val="002D65CE"/>
    <w:rsid w:val="0030550C"/>
    <w:rsid w:val="003167A9"/>
    <w:rsid w:val="00322315"/>
    <w:rsid w:val="003358A3"/>
    <w:rsid w:val="0034239F"/>
    <w:rsid w:val="00344F9C"/>
    <w:rsid w:val="0035401D"/>
    <w:rsid w:val="00362B4F"/>
    <w:rsid w:val="00363166"/>
    <w:rsid w:val="00367B94"/>
    <w:rsid w:val="003709AD"/>
    <w:rsid w:val="00383E3B"/>
    <w:rsid w:val="00386C35"/>
    <w:rsid w:val="00392D9D"/>
    <w:rsid w:val="003954EA"/>
    <w:rsid w:val="003A160D"/>
    <w:rsid w:val="003B11E8"/>
    <w:rsid w:val="003B359B"/>
    <w:rsid w:val="003B45C0"/>
    <w:rsid w:val="003B50D5"/>
    <w:rsid w:val="003C1677"/>
    <w:rsid w:val="003C320A"/>
    <w:rsid w:val="003C6BF4"/>
    <w:rsid w:val="003C7B16"/>
    <w:rsid w:val="003E26B4"/>
    <w:rsid w:val="004107CB"/>
    <w:rsid w:val="00422FC3"/>
    <w:rsid w:val="004260AF"/>
    <w:rsid w:val="00427B2F"/>
    <w:rsid w:val="0043109F"/>
    <w:rsid w:val="00433072"/>
    <w:rsid w:val="004515C9"/>
    <w:rsid w:val="0045309F"/>
    <w:rsid w:val="004610ED"/>
    <w:rsid w:val="00474D4D"/>
    <w:rsid w:val="00480327"/>
    <w:rsid w:val="00490A10"/>
    <w:rsid w:val="00492005"/>
    <w:rsid w:val="00497544"/>
    <w:rsid w:val="004A4FAC"/>
    <w:rsid w:val="004C0666"/>
    <w:rsid w:val="004C1B07"/>
    <w:rsid w:val="004C2B9E"/>
    <w:rsid w:val="004C3108"/>
    <w:rsid w:val="004C584D"/>
    <w:rsid w:val="004D3FE3"/>
    <w:rsid w:val="004D6EF5"/>
    <w:rsid w:val="004D737D"/>
    <w:rsid w:val="004E0B13"/>
    <w:rsid w:val="00500B34"/>
    <w:rsid w:val="00501719"/>
    <w:rsid w:val="00503514"/>
    <w:rsid w:val="005110C0"/>
    <w:rsid w:val="005228A7"/>
    <w:rsid w:val="00532023"/>
    <w:rsid w:val="00532FA6"/>
    <w:rsid w:val="00534FAC"/>
    <w:rsid w:val="0053600A"/>
    <w:rsid w:val="00540B67"/>
    <w:rsid w:val="00543305"/>
    <w:rsid w:val="00552548"/>
    <w:rsid w:val="00552F65"/>
    <w:rsid w:val="00557DA2"/>
    <w:rsid w:val="0056062C"/>
    <w:rsid w:val="00561DF7"/>
    <w:rsid w:val="00561F1E"/>
    <w:rsid w:val="005701ED"/>
    <w:rsid w:val="00574B31"/>
    <w:rsid w:val="00576E43"/>
    <w:rsid w:val="00577C06"/>
    <w:rsid w:val="0058523C"/>
    <w:rsid w:val="005869A3"/>
    <w:rsid w:val="005869F2"/>
    <w:rsid w:val="0059048F"/>
    <w:rsid w:val="0059119E"/>
    <w:rsid w:val="00594BC8"/>
    <w:rsid w:val="00597A15"/>
    <w:rsid w:val="005A78D2"/>
    <w:rsid w:val="005B14C7"/>
    <w:rsid w:val="005B428A"/>
    <w:rsid w:val="005C352D"/>
    <w:rsid w:val="005D5CB6"/>
    <w:rsid w:val="005E03B0"/>
    <w:rsid w:val="005F0BFF"/>
    <w:rsid w:val="005F4733"/>
    <w:rsid w:val="005F6547"/>
    <w:rsid w:val="005F6DD8"/>
    <w:rsid w:val="006039E4"/>
    <w:rsid w:val="0060496E"/>
    <w:rsid w:val="006119BB"/>
    <w:rsid w:val="006217FA"/>
    <w:rsid w:val="0062392D"/>
    <w:rsid w:val="00632F7B"/>
    <w:rsid w:val="006347A5"/>
    <w:rsid w:val="00635680"/>
    <w:rsid w:val="00647EC4"/>
    <w:rsid w:val="006524D4"/>
    <w:rsid w:val="00663C6F"/>
    <w:rsid w:val="00672829"/>
    <w:rsid w:val="0067651F"/>
    <w:rsid w:val="0067761B"/>
    <w:rsid w:val="0068212B"/>
    <w:rsid w:val="00682B53"/>
    <w:rsid w:val="00684553"/>
    <w:rsid w:val="00686C88"/>
    <w:rsid w:val="0069510C"/>
    <w:rsid w:val="00697E58"/>
    <w:rsid w:val="006A001B"/>
    <w:rsid w:val="006A2175"/>
    <w:rsid w:val="006A6FB0"/>
    <w:rsid w:val="006C7207"/>
    <w:rsid w:val="006D013B"/>
    <w:rsid w:val="006D6C32"/>
    <w:rsid w:val="006D7C66"/>
    <w:rsid w:val="006E3253"/>
    <w:rsid w:val="006F0042"/>
    <w:rsid w:val="006F5B64"/>
    <w:rsid w:val="006F6C53"/>
    <w:rsid w:val="006F7A2E"/>
    <w:rsid w:val="0070499D"/>
    <w:rsid w:val="00716DA2"/>
    <w:rsid w:val="00723D76"/>
    <w:rsid w:val="00726559"/>
    <w:rsid w:val="007376F5"/>
    <w:rsid w:val="00740084"/>
    <w:rsid w:val="007447F4"/>
    <w:rsid w:val="00761DAB"/>
    <w:rsid w:val="007737FC"/>
    <w:rsid w:val="00776836"/>
    <w:rsid w:val="00777B1C"/>
    <w:rsid w:val="00781B28"/>
    <w:rsid w:val="00796575"/>
    <w:rsid w:val="007A297F"/>
    <w:rsid w:val="007A592C"/>
    <w:rsid w:val="007A6633"/>
    <w:rsid w:val="007B1AEA"/>
    <w:rsid w:val="007B3E53"/>
    <w:rsid w:val="007C1744"/>
    <w:rsid w:val="007C1CF3"/>
    <w:rsid w:val="007C7915"/>
    <w:rsid w:val="007E3BE3"/>
    <w:rsid w:val="007E3D83"/>
    <w:rsid w:val="007F4135"/>
    <w:rsid w:val="007F4669"/>
    <w:rsid w:val="007F65E1"/>
    <w:rsid w:val="00802471"/>
    <w:rsid w:val="0080281D"/>
    <w:rsid w:val="00807B64"/>
    <w:rsid w:val="00807BCE"/>
    <w:rsid w:val="00825D17"/>
    <w:rsid w:val="00833864"/>
    <w:rsid w:val="00833DEB"/>
    <w:rsid w:val="00834E67"/>
    <w:rsid w:val="00836A9E"/>
    <w:rsid w:val="008378C6"/>
    <w:rsid w:val="0084231D"/>
    <w:rsid w:val="00854DA7"/>
    <w:rsid w:val="0086467B"/>
    <w:rsid w:val="008702D4"/>
    <w:rsid w:val="008736B2"/>
    <w:rsid w:val="0087576D"/>
    <w:rsid w:val="00875857"/>
    <w:rsid w:val="008865D1"/>
    <w:rsid w:val="00887589"/>
    <w:rsid w:val="008906CC"/>
    <w:rsid w:val="008A15D2"/>
    <w:rsid w:val="008A6184"/>
    <w:rsid w:val="008A71B2"/>
    <w:rsid w:val="008B08CB"/>
    <w:rsid w:val="008B211E"/>
    <w:rsid w:val="008B791E"/>
    <w:rsid w:val="008C248F"/>
    <w:rsid w:val="008C47AE"/>
    <w:rsid w:val="008D3C45"/>
    <w:rsid w:val="008E0022"/>
    <w:rsid w:val="008E094D"/>
    <w:rsid w:val="008E3AA5"/>
    <w:rsid w:val="008E7E3B"/>
    <w:rsid w:val="008F6C22"/>
    <w:rsid w:val="0090583A"/>
    <w:rsid w:val="009063D2"/>
    <w:rsid w:val="009224EE"/>
    <w:rsid w:val="00922786"/>
    <w:rsid w:val="00926D22"/>
    <w:rsid w:val="00932F4E"/>
    <w:rsid w:val="00936176"/>
    <w:rsid w:val="009376D1"/>
    <w:rsid w:val="00941DCB"/>
    <w:rsid w:val="0094213B"/>
    <w:rsid w:val="00950942"/>
    <w:rsid w:val="00952D2B"/>
    <w:rsid w:val="00957EA1"/>
    <w:rsid w:val="00964761"/>
    <w:rsid w:val="00965889"/>
    <w:rsid w:val="0097145F"/>
    <w:rsid w:val="00977715"/>
    <w:rsid w:val="009839A8"/>
    <w:rsid w:val="00984062"/>
    <w:rsid w:val="009844B6"/>
    <w:rsid w:val="009910C9"/>
    <w:rsid w:val="00994701"/>
    <w:rsid w:val="00996FE9"/>
    <w:rsid w:val="00997BA2"/>
    <w:rsid w:val="009A3D43"/>
    <w:rsid w:val="009A41AE"/>
    <w:rsid w:val="009A6206"/>
    <w:rsid w:val="009B351D"/>
    <w:rsid w:val="009B646B"/>
    <w:rsid w:val="009B7DC6"/>
    <w:rsid w:val="009C6561"/>
    <w:rsid w:val="009E197C"/>
    <w:rsid w:val="009E7C0E"/>
    <w:rsid w:val="009F6493"/>
    <w:rsid w:val="00A0568C"/>
    <w:rsid w:val="00A0771C"/>
    <w:rsid w:val="00A170B7"/>
    <w:rsid w:val="00A339FF"/>
    <w:rsid w:val="00A520E9"/>
    <w:rsid w:val="00A55A8A"/>
    <w:rsid w:val="00A571B3"/>
    <w:rsid w:val="00A61DDF"/>
    <w:rsid w:val="00A6248F"/>
    <w:rsid w:val="00A7489A"/>
    <w:rsid w:val="00A753CB"/>
    <w:rsid w:val="00A80981"/>
    <w:rsid w:val="00A87735"/>
    <w:rsid w:val="00A90E9E"/>
    <w:rsid w:val="00A92CD3"/>
    <w:rsid w:val="00A94FB4"/>
    <w:rsid w:val="00AA28E0"/>
    <w:rsid w:val="00AA4134"/>
    <w:rsid w:val="00AA69FF"/>
    <w:rsid w:val="00AB5476"/>
    <w:rsid w:val="00AC1720"/>
    <w:rsid w:val="00AC2C25"/>
    <w:rsid w:val="00AC4912"/>
    <w:rsid w:val="00AE4C0B"/>
    <w:rsid w:val="00AE4C95"/>
    <w:rsid w:val="00AF12E3"/>
    <w:rsid w:val="00AF154E"/>
    <w:rsid w:val="00AF1E36"/>
    <w:rsid w:val="00AF36C3"/>
    <w:rsid w:val="00AF6FC5"/>
    <w:rsid w:val="00B022FC"/>
    <w:rsid w:val="00B03678"/>
    <w:rsid w:val="00B12B9E"/>
    <w:rsid w:val="00B26682"/>
    <w:rsid w:val="00B312A6"/>
    <w:rsid w:val="00B422C2"/>
    <w:rsid w:val="00B4244F"/>
    <w:rsid w:val="00B4764E"/>
    <w:rsid w:val="00B50BC2"/>
    <w:rsid w:val="00B5324E"/>
    <w:rsid w:val="00B664A2"/>
    <w:rsid w:val="00B7121E"/>
    <w:rsid w:val="00B76464"/>
    <w:rsid w:val="00B81241"/>
    <w:rsid w:val="00B97120"/>
    <w:rsid w:val="00BA33FA"/>
    <w:rsid w:val="00BB5469"/>
    <w:rsid w:val="00BC1817"/>
    <w:rsid w:val="00BC2B37"/>
    <w:rsid w:val="00BC2EC8"/>
    <w:rsid w:val="00BD04DA"/>
    <w:rsid w:val="00BD7EB4"/>
    <w:rsid w:val="00BE00F9"/>
    <w:rsid w:val="00BE5E46"/>
    <w:rsid w:val="00BF5842"/>
    <w:rsid w:val="00BF62EE"/>
    <w:rsid w:val="00BF7CD5"/>
    <w:rsid w:val="00C026C1"/>
    <w:rsid w:val="00C032B3"/>
    <w:rsid w:val="00C03320"/>
    <w:rsid w:val="00C14689"/>
    <w:rsid w:val="00C15A96"/>
    <w:rsid w:val="00C16853"/>
    <w:rsid w:val="00C363C6"/>
    <w:rsid w:val="00C405BA"/>
    <w:rsid w:val="00C448D7"/>
    <w:rsid w:val="00C45EBB"/>
    <w:rsid w:val="00C64EB0"/>
    <w:rsid w:val="00C7096F"/>
    <w:rsid w:val="00C85771"/>
    <w:rsid w:val="00C8717D"/>
    <w:rsid w:val="00CB6937"/>
    <w:rsid w:val="00CC4A27"/>
    <w:rsid w:val="00CD04E4"/>
    <w:rsid w:val="00CD6FD1"/>
    <w:rsid w:val="00CE383C"/>
    <w:rsid w:val="00CE594D"/>
    <w:rsid w:val="00CF421C"/>
    <w:rsid w:val="00CF61E5"/>
    <w:rsid w:val="00CF7235"/>
    <w:rsid w:val="00D002A0"/>
    <w:rsid w:val="00D04A02"/>
    <w:rsid w:val="00D22368"/>
    <w:rsid w:val="00D348FF"/>
    <w:rsid w:val="00D34FF2"/>
    <w:rsid w:val="00D41FB5"/>
    <w:rsid w:val="00D528AB"/>
    <w:rsid w:val="00D60F4C"/>
    <w:rsid w:val="00D6194E"/>
    <w:rsid w:val="00D64BDD"/>
    <w:rsid w:val="00D822B1"/>
    <w:rsid w:val="00D91ECA"/>
    <w:rsid w:val="00D97C2B"/>
    <w:rsid w:val="00DD20D0"/>
    <w:rsid w:val="00DD365C"/>
    <w:rsid w:val="00DD6204"/>
    <w:rsid w:val="00DE498A"/>
    <w:rsid w:val="00DF6462"/>
    <w:rsid w:val="00E058B8"/>
    <w:rsid w:val="00E1154E"/>
    <w:rsid w:val="00E21174"/>
    <w:rsid w:val="00E240E8"/>
    <w:rsid w:val="00E24AD7"/>
    <w:rsid w:val="00E26137"/>
    <w:rsid w:val="00E33A02"/>
    <w:rsid w:val="00E36323"/>
    <w:rsid w:val="00E53564"/>
    <w:rsid w:val="00E577C5"/>
    <w:rsid w:val="00E64F4B"/>
    <w:rsid w:val="00E72765"/>
    <w:rsid w:val="00E92C45"/>
    <w:rsid w:val="00EA64C6"/>
    <w:rsid w:val="00EC4ED0"/>
    <w:rsid w:val="00EC7C77"/>
    <w:rsid w:val="00ED484B"/>
    <w:rsid w:val="00EF1BF5"/>
    <w:rsid w:val="00EF2183"/>
    <w:rsid w:val="00EF5976"/>
    <w:rsid w:val="00EF7437"/>
    <w:rsid w:val="00F02441"/>
    <w:rsid w:val="00F10684"/>
    <w:rsid w:val="00F2116B"/>
    <w:rsid w:val="00F36C45"/>
    <w:rsid w:val="00F41D23"/>
    <w:rsid w:val="00F54770"/>
    <w:rsid w:val="00F5719B"/>
    <w:rsid w:val="00F627BF"/>
    <w:rsid w:val="00F62DF0"/>
    <w:rsid w:val="00F71D34"/>
    <w:rsid w:val="00F76348"/>
    <w:rsid w:val="00F77524"/>
    <w:rsid w:val="00F8070D"/>
    <w:rsid w:val="00F82210"/>
    <w:rsid w:val="00F932F1"/>
    <w:rsid w:val="00FA6E4E"/>
    <w:rsid w:val="00FB4453"/>
    <w:rsid w:val="00FB498E"/>
    <w:rsid w:val="00FB4995"/>
    <w:rsid w:val="00FC507D"/>
    <w:rsid w:val="00FC58F1"/>
    <w:rsid w:val="00FC652E"/>
    <w:rsid w:val="00FD1C67"/>
    <w:rsid w:val="00FD69A2"/>
    <w:rsid w:val="00FE1041"/>
    <w:rsid w:val="00FE2595"/>
    <w:rsid w:val="00FE277B"/>
    <w:rsid w:val="00FE326E"/>
    <w:rsid w:val="00FE6FC2"/>
    <w:rsid w:val="00FF34EA"/>
    <w:rsid w:val="00FF776D"/>
    <w:rsid w:val="01AB3C07"/>
    <w:rsid w:val="045A726D"/>
    <w:rsid w:val="04BA767C"/>
    <w:rsid w:val="059B3F0E"/>
    <w:rsid w:val="08CB24B9"/>
    <w:rsid w:val="0CC033E4"/>
    <w:rsid w:val="11D716A6"/>
    <w:rsid w:val="1B59446E"/>
    <w:rsid w:val="1C5D2055"/>
    <w:rsid w:val="23241ADC"/>
    <w:rsid w:val="25A706E5"/>
    <w:rsid w:val="2CB930BC"/>
    <w:rsid w:val="32B66F6D"/>
    <w:rsid w:val="365715D6"/>
    <w:rsid w:val="38984528"/>
    <w:rsid w:val="3C354BF6"/>
    <w:rsid w:val="3D8D694B"/>
    <w:rsid w:val="411B5C23"/>
    <w:rsid w:val="472820B3"/>
    <w:rsid w:val="48EC28E7"/>
    <w:rsid w:val="4C0608D3"/>
    <w:rsid w:val="51E739BF"/>
    <w:rsid w:val="53820302"/>
    <w:rsid w:val="56774CE8"/>
    <w:rsid w:val="56D83C37"/>
    <w:rsid w:val="57784D09"/>
    <w:rsid w:val="5958352A"/>
    <w:rsid w:val="5A2C1EE5"/>
    <w:rsid w:val="5E39489A"/>
    <w:rsid w:val="67AC765B"/>
    <w:rsid w:val="69E22468"/>
    <w:rsid w:val="736D6136"/>
    <w:rsid w:val="743D364A"/>
    <w:rsid w:val="7A1B4AF9"/>
    <w:rsid w:val="7C2E4DA2"/>
    <w:rsid w:val="7DEC0B7B"/>
    <w:rsid w:val="7F797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heading 1"/>
    <w:basedOn w:val="1"/>
    <w:next w:val="1"/>
    <w:link w:val="2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2"/>
    <w:basedOn w:val="1"/>
    <w:next w:val="1"/>
    <w:qFormat/>
    <w:uiPriority w:val="9"/>
    <w:pPr>
      <w:spacing w:before="100" w:beforeAutospacing="1" w:after="100" w:afterAutospacing="1"/>
      <w:jc w:val="left"/>
      <w:outlineLvl w:val="1"/>
    </w:pPr>
    <w:rPr>
      <w:rFonts w:hint="eastAsia" w:ascii="宋体" w:hAnsi="宋体" w:eastAsia="宋体"/>
      <w:b/>
      <w:kern w:val="0"/>
      <w:sz w:val="36"/>
      <w:szCs w:val="36"/>
    </w:rPr>
  </w:style>
  <w:style w:type="paragraph" w:styleId="6">
    <w:name w:val="heading 3"/>
    <w:basedOn w:val="1"/>
    <w:next w:val="1"/>
    <w:qFormat/>
    <w:uiPriority w:val="9"/>
    <w:pPr>
      <w:spacing w:before="100" w:beforeAutospacing="1" w:after="100" w:afterAutospacing="1"/>
      <w:jc w:val="left"/>
      <w:outlineLvl w:val="2"/>
    </w:pPr>
    <w:rPr>
      <w:rFonts w:hint="eastAsia" w:ascii="宋体" w:hAnsi="宋体" w:eastAsia="宋体"/>
      <w:b/>
      <w:kern w:val="0"/>
      <w:sz w:val="27"/>
      <w:szCs w:val="27"/>
    </w:rPr>
  </w:style>
  <w:style w:type="character" w:default="1" w:styleId="19">
    <w:name w:val="Default Paragraph Font"/>
    <w:semiHidden/>
    <w:qFormat/>
    <w:uiPriority w:val="0"/>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Indent"/>
    <w:basedOn w:val="1"/>
    <w:next w:val="3"/>
    <w:qFormat/>
    <w:uiPriority w:val="0"/>
    <w:pPr>
      <w:ind w:firstLine="420"/>
    </w:pPr>
    <w:rPr>
      <w:sz w:val="24"/>
    </w:rPr>
  </w:style>
  <w:style w:type="paragraph" w:styleId="3">
    <w:name w:val="toc 1"/>
    <w:basedOn w:val="1"/>
    <w:next w:val="1"/>
    <w:unhideWhenUsed/>
    <w:qFormat/>
    <w:uiPriority w:val="39"/>
    <w:pPr>
      <w:widowControl/>
      <w:spacing w:after="100" w:line="276" w:lineRule="auto"/>
      <w:ind w:firstLine="0" w:firstLineChars="0"/>
      <w:jc w:val="left"/>
    </w:pPr>
    <w:rPr>
      <w:rFonts w:ascii="Calibri" w:hAnsi="Calibri" w:eastAsia="宋体"/>
      <w:kern w:val="0"/>
      <w:sz w:val="22"/>
      <w:szCs w:val="22"/>
    </w:rPr>
  </w:style>
  <w:style w:type="paragraph" w:styleId="7">
    <w:name w:val="annotation text"/>
    <w:basedOn w:val="1"/>
    <w:semiHidden/>
    <w:unhideWhenUsed/>
    <w:qFormat/>
    <w:uiPriority w:val="99"/>
    <w:pPr>
      <w:jc w:val="left"/>
    </w:pPr>
  </w:style>
  <w:style w:type="paragraph" w:styleId="8">
    <w:name w:val="Body Text"/>
    <w:basedOn w:val="1"/>
    <w:qFormat/>
    <w:uiPriority w:val="0"/>
    <w:pPr>
      <w:spacing w:line="0" w:lineRule="atLeast"/>
    </w:pPr>
    <w:rPr>
      <w:rFonts w:eastAsia="小标宋"/>
      <w:sz w:val="44"/>
    </w:rPr>
  </w:style>
  <w:style w:type="paragraph" w:styleId="9">
    <w:name w:val="Plain Text"/>
    <w:basedOn w:val="1"/>
    <w:link w:val="23"/>
    <w:unhideWhenUsed/>
    <w:qFormat/>
    <w:uiPriority w:val="0"/>
    <w:pPr>
      <w:spacing w:line="360" w:lineRule="auto"/>
    </w:pPr>
    <w:rPr>
      <w:rFonts w:ascii="宋体" w:hAnsi="Courier New" w:eastAsia="宋体"/>
      <w:color w:val="000000"/>
      <w:kern w:val="24"/>
      <w:sz w:val="21"/>
      <w:szCs w:val="21"/>
    </w:rPr>
  </w:style>
  <w:style w:type="paragraph" w:styleId="10">
    <w:name w:val="Body Text Indent 2"/>
    <w:basedOn w:val="1"/>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2"/>
    <w:basedOn w:val="1"/>
    <w:next w:val="1"/>
    <w:qFormat/>
    <w:uiPriority w:val="0"/>
    <w:pPr>
      <w:ind w:left="420" w:leftChars="200"/>
    </w:pPr>
  </w:style>
  <w:style w:type="paragraph" w:styleId="15">
    <w:name w:val="Normal (Web)"/>
    <w:basedOn w:val="1"/>
    <w:unhideWhenUsed/>
    <w:qFormat/>
    <w:uiPriority w:val="99"/>
    <w:pPr>
      <w:spacing w:before="100" w:beforeAutospacing="1" w:after="100" w:afterAutospacing="1"/>
      <w:jc w:val="left"/>
    </w:pPr>
    <w:rPr>
      <w:kern w:val="0"/>
      <w:sz w:val="24"/>
    </w:rPr>
  </w:style>
  <w:style w:type="paragraph" w:styleId="16">
    <w:name w:val="Body Text First Indent"/>
    <w:basedOn w:val="8"/>
    <w:link w:val="24"/>
    <w:qFormat/>
    <w:uiPriority w:val="0"/>
    <w:pPr>
      <w:spacing w:before="20" w:after="120" w:line="400" w:lineRule="exact"/>
      <w:ind w:firstLine="420" w:firstLineChars="100"/>
    </w:pPr>
    <w:rPr>
      <w:rFonts w:eastAsia="宋体"/>
      <w:sz w:val="24"/>
      <w:szCs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qFormat/>
    <w:uiPriority w:val="0"/>
  </w:style>
  <w:style w:type="character" w:styleId="21">
    <w:name w:val="annotation reference"/>
    <w:basedOn w:val="19"/>
    <w:semiHidden/>
    <w:unhideWhenUsed/>
    <w:qFormat/>
    <w:uiPriority w:val="99"/>
    <w:rPr>
      <w:sz w:val="21"/>
      <w:szCs w:val="21"/>
    </w:rPr>
  </w:style>
  <w:style w:type="character" w:customStyle="1" w:styleId="22">
    <w:name w:val="标题 1 字符"/>
    <w:link w:val="4"/>
    <w:qFormat/>
    <w:uiPriority w:val="9"/>
    <w:rPr>
      <w:rFonts w:ascii="宋体" w:hAnsi="宋体" w:cs="宋体"/>
      <w:b/>
      <w:bCs/>
      <w:kern w:val="36"/>
      <w:sz w:val="48"/>
      <w:szCs w:val="48"/>
    </w:rPr>
  </w:style>
  <w:style w:type="character" w:customStyle="1" w:styleId="23">
    <w:name w:val="纯文本 字符"/>
    <w:link w:val="9"/>
    <w:qFormat/>
    <w:uiPriority w:val="0"/>
    <w:rPr>
      <w:rFonts w:ascii="宋体" w:hAnsi="Courier New"/>
      <w:color w:val="000000"/>
      <w:kern w:val="24"/>
      <w:sz w:val="21"/>
      <w:szCs w:val="21"/>
    </w:rPr>
  </w:style>
  <w:style w:type="character" w:customStyle="1" w:styleId="24">
    <w:name w:val="正文文本首行缩进 字符"/>
    <w:link w:val="16"/>
    <w:qFormat/>
    <w:uiPriority w:val="0"/>
    <w:rPr>
      <w:rFonts w:eastAsia="宋体"/>
      <w:kern w:val="2"/>
      <w:sz w:val="24"/>
      <w:szCs w:val="24"/>
      <w:lang w:val="en-US" w:eastAsia="zh-CN" w:bidi="ar-SA"/>
    </w:rPr>
  </w:style>
  <w:style w:type="character" w:customStyle="1" w:styleId="25">
    <w:name w:val="fontstyle01"/>
    <w:qFormat/>
    <w:uiPriority w:val="0"/>
    <w:rPr>
      <w:rFonts w:hint="eastAsia" w:ascii="宋体" w:hAnsi="宋体" w:eastAsia="宋体"/>
      <w:color w:val="000000"/>
      <w:sz w:val="24"/>
      <w:szCs w:val="24"/>
    </w:rPr>
  </w:style>
  <w:style w:type="character" w:customStyle="1" w:styleId="26">
    <w:name w:val="fontstyle21"/>
    <w:qFormat/>
    <w:uiPriority w:val="0"/>
    <w:rPr>
      <w:rFonts w:hint="default" w:ascii="Times New Roman" w:hAnsi="Times New Roman" w:cs="Times New Roman"/>
      <w:color w:val="000000"/>
      <w:sz w:val="24"/>
      <w:szCs w:val="24"/>
    </w:rPr>
  </w:style>
  <w:style w:type="character" w:customStyle="1" w:styleId="27">
    <w:name w:val="zly-正文 Char"/>
    <w:link w:val="28"/>
    <w:qFormat/>
    <w:uiPriority w:val="0"/>
    <w:rPr>
      <w:rFonts w:eastAsia="宋体"/>
      <w:snapToGrid w:val="0"/>
      <w:kern w:val="2"/>
      <w:sz w:val="24"/>
      <w:szCs w:val="24"/>
      <w:lang w:bidi="ar-SA"/>
    </w:rPr>
  </w:style>
  <w:style w:type="paragraph" w:customStyle="1" w:styleId="28">
    <w:name w:val="zly-正文"/>
    <w:basedOn w:val="1"/>
    <w:link w:val="27"/>
    <w:qFormat/>
    <w:uiPriority w:val="0"/>
    <w:pPr>
      <w:widowControl/>
      <w:spacing w:line="360" w:lineRule="auto"/>
      <w:ind w:firstLine="425"/>
      <w:jc w:val="left"/>
    </w:pPr>
    <w:rPr>
      <w:rFonts w:eastAsia="宋体"/>
      <w:snapToGrid w:val="0"/>
      <w:sz w:val="24"/>
      <w:szCs w:val="24"/>
    </w:rPr>
  </w:style>
  <w:style w:type="character" w:customStyle="1" w:styleId="29">
    <w:name w:val="fontstyle11"/>
    <w:qFormat/>
    <w:uiPriority w:val="0"/>
    <w:rPr>
      <w:rFonts w:hint="default" w:ascii="Times New Roman" w:hAnsi="Times New Roman" w:cs="Times New Roman"/>
      <w:color w:val="000000"/>
      <w:sz w:val="24"/>
      <w:szCs w:val="24"/>
    </w:rPr>
  </w:style>
  <w:style w:type="character" w:customStyle="1" w:styleId="30">
    <w:name w:val="doc_title"/>
    <w:qFormat/>
    <w:uiPriority w:val="0"/>
  </w:style>
  <w:style w:type="character" w:customStyle="1" w:styleId="31">
    <w:name w:val="正文 Char"/>
    <w:link w:val="32"/>
    <w:qFormat/>
    <w:uiPriority w:val="0"/>
    <w:rPr>
      <w:rFonts w:eastAsia="Times New Roman"/>
      <w:kern w:val="2"/>
      <w:sz w:val="24"/>
      <w:szCs w:val="18"/>
      <w:lang w:val="en-US" w:eastAsia="zh-CN" w:bidi="ar-SA"/>
    </w:rPr>
  </w:style>
  <w:style w:type="paragraph" w:customStyle="1" w:styleId="32">
    <w:name w:val="正文1"/>
    <w:link w:val="31"/>
    <w:qFormat/>
    <w:uiPriority w:val="0"/>
    <w:pPr>
      <w:spacing w:line="360" w:lineRule="auto"/>
      <w:ind w:firstLine="200" w:firstLineChars="200"/>
      <w:jc w:val="both"/>
    </w:pPr>
    <w:rPr>
      <w:rFonts w:ascii="Times New Roman" w:hAnsi="Times New Roman" w:eastAsia="Times New Roman" w:cs="Times New Roman"/>
      <w:kern w:val="2"/>
      <w:sz w:val="24"/>
      <w:szCs w:val="18"/>
      <w:lang w:val="en-US" w:eastAsia="zh-CN" w:bidi="ar-SA"/>
    </w:rPr>
  </w:style>
  <w:style w:type="character" w:customStyle="1" w:styleId="33">
    <w:name w:val="列表段落 字符"/>
    <w:link w:val="34"/>
    <w:qFormat/>
    <w:uiPriority w:val="0"/>
    <w:rPr>
      <w:rFonts w:ascii="Calibri" w:hAnsi="Calibri" w:eastAsia="宋体"/>
      <w:kern w:val="2"/>
      <w:sz w:val="28"/>
      <w:szCs w:val="22"/>
      <w:lang w:bidi="ar-SA"/>
    </w:rPr>
  </w:style>
  <w:style w:type="paragraph" w:styleId="34">
    <w:name w:val="List Paragraph"/>
    <w:basedOn w:val="1"/>
    <w:link w:val="33"/>
    <w:qFormat/>
    <w:uiPriority w:val="0"/>
    <w:pPr>
      <w:spacing w:afterLines="50" w:line="440" w:lineRule="exact"/>
      <w:ind w:firstLine="420" w:firstLineChars="200"/>
    </w:pPr>
    <w:rPr>
      <w:rFonts w:ascii="Calibri" w:hAnsi="Calibri" w:eastAsia="宋体"/>
      <w:sz w:val="28"/>
      <w:szCs w:val="22"/>
    </w:rPr>
  </w:style>
  <w:style w:type="paragraph" w:customStyle="1" w:styleId="3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6">
    <w:name w:val="lh-正文-报告表"/>
    <w:basedOn w:val="1"/>
    <w:qFormat/>
    <w:uiPriority w:val="0"/>
    <w:pPr>
      <w:spacing w:line="360" w:lineRule="auto"/>
      <w:ind w:firstLine="480" w:firstLineChars="200"/>
    </w:pPr>
    <w:rPr>
      <w:rFonts w:eastAsia="宋体"/>
      <w:kern w:val="0"/>
      <w:sz w:val="24"/>
    </w:rPr>
  </w:style>
  <w:style w:type="paragraph" w:customStyle="1" w:styleId="37">
    <w:name w:val="环评正文"/>
    <w:basedOn w:val="1"/>
    <w:qFormat/>
    <w:uiPriority w:val="0"/>
    <w:pPr>
      <w:spacing w:line="360" w:lineRule="auto"/>
      <w:ind w:firstLine="200" w:firstLineChars="200"/>
    </w:pPr>
    <w:rPr>
      <w:rFonts w:eastAsia="宋体"/>
      <w:sz w:val="24"/>
    </w:rPr>
  </w:style>
  <w:style w:type="paragraph" w:customStyle="1" w:styleId="38">
    <w:name w:val=" Char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39">
    <w:name w:val="lh-正文-报告书"/>
    <w:qFormat/>
    <w:uiPriority w:val="0"/>
    <w:pPr>
      <w:widowControl w:val="0"/>
      <w:spacing w:line="360" w:lineRule="auto"/>
      <w:ind w:firstLine="200" w:firstLineChars="200"/>
      <w:jc w:val="both"/>
    </w:pPr>
    <w:rPr>
      <w:rFonts w:ascii="Times New Roman" w:hAnsi="Times New Roman" w:eastAsia="宋体" w:cs="Times New Roman"/>
      <w:snapToGrid w:val="0"/>
      <w:sz w:val="24"/>
      <w:szCs w:val="21"/>
      <w:lang w:val="en-GB" w:eastAsia="zh-CN" w:bidi="ar-SA"/>
    </w:rPr>
  </w:style>
  <w:style w:type="paragraph" w:customStyle="1" w:styleId="40">
    <w:name w:val="正文段落"/>
    <w:basedOn w:val="1"/>
    <w:qFormat/>
    <w:uiPriority w:val="0"/>
    <w:pPr>
      <w:ind w:firstLine="480"/>
    </w:pPr>
  </w:style>
  <w:style w:type="paragraph" w:customStyle="1" w:styleId="41">
    <w:name w:val="表格内文字（北）"/>
    <w:basedOn w:val="1"/>
    <w:qFormat/>
    <w:uiPriority w:val="0"/>
    <w:pPr>
      <w:spacing w:line="240" w:lineRule="auto"/>
      <w:ind w:firstLine="0" w:firstLineChars="0"/>
      <w:jc w:val="center"/>
    </w:pPr>
    <w:rPr>
      <w:spacing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mmon%20Files\gwb\gwb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Files\Common Files\gwb\gwb3.dot</Template>
  <Company> </Company>
  <Pages>4</Pages>
  <Words>2144</Words>
  <Characters>2298</Characters>
  <Lines>20</Lines>
  <Paragraphs>5</Paragraphs>
  <TotalTime>3</TotalTime>
  <ScaleCrop>false</ScaleCrop>
  <LinksUpToDate>false</LinksUpToDate>
  <CharactersWithSpaces>2430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2022-04-17T05:54:00Z</dcterms:created>
  <dc:creator>微软用户</dc:creator>
  <cp:lastModifiedBy>HQQZF</cp:lastModifiedBy>
  <cp:lastPrinted>2022-09-12T04:04:00Z</cp:lastPrinted>
  <dcterms:modified xsi:type="dcterms:W3CDTF">2022-09-22T08:47:55Z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1710C1C3D1FE4ADAB909247A89835A9E</vt:lpwstr>
  </property>
</Properties>
</file>