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eastAsia="方正小标宋_GBK"/>
          <w:b w:val="0"/>
          <w:sz w:val="30"/>
          <w:szCs w:val="30"/>
        </w:rPr>
      </w:pPr>
      <w:bookmarkStart w:id="0" w:name="_Toc24724713"/>
      <w:r>
        <w:rPr>
          <w:rFonts w:hint="eastAsia" w:ascii="方正小标宋_GBK" w:eastAsia="方正小标宋_GBK"/>
          <w:b w:val="0"/>
          <w:sz w:val="30"/>
          <w:szCs w:val="30"/>
        </w:rPr>
        <w:t>（十）</w:t>
      </w:r>
      <w:bookmarkStart w:id="1" w:name="_GoBack"/>
      <w:r>
        <w:rPr>
          <w:rFonts w:hint="eastAsia" w:ascii="方正小标宋_GBK" w:eastAsia="方正小标宋_GBK"/>
          <w:b w:val="0"/>
          <w:sz w:val="30"/>
          <w:szCs w:val="30"/>
        </w:rPr>
        <w:t>社会保险领域基层政务公开标准目录</w:t>
      </w:r>
      <w:bookmarkEnd w:id="0"/>
    </w:p>
    <w:bookmarkEnd w:id="1"/>
    <w:tbl>
      <w:tblPr>
        <w:tblStyle w:val="3"/>
        <w:tblW w:w="15716" w:type="dxa"/>
        <w:tblInd w:w="-8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080"/>
        <w:gridCol w:w="3060"/>
        <w:gridCol w:w="2036"/>
        <w:gridCol w:w="1620"/>
        <w:gridCol w:w="1024"/>
        <w:gridCol w:w="1496"/>
        <w:gridCol w:w="720"/>
        <w:gridCol w:w="720"/>
        <w:gridCol w:w="54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vAlign w:val="center"/>
          </w:tcPr>
          <w:p>
            <w:pPr>
              <w:widowControl/>
              <w:jc w:val="center"/>
              <w:rPr>
                <w:rFonts w:ascii="黑体" w:hAnsi="Times New Roman" w:eastAsia="黑体"/>
                <w:color w:val="000000"/>
                <w:kern w:val="0"/>
                <w:sz w:val="22"/>
              </w:rPr>
            </w:pPr>
            <w:r>
              <w:rPr>
                <w:rFonts w:hint="eastAsia" w:ascii="黑体" w:hAnsi="宋体" w:eastAsia="黑体"/>
                <w:color w:val="000000"/>
                <w:kern w:val="0"/>
                <w:sz w:val="22"/>
              </w:rPr>
              <w:t>序号</w:t>
            </w:r>
          </w:p>
        </w:tc>
        <w:tc>
          <w:tcPr>
            <w:tcW w:w="180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306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036"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62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24"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6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Times New Roman" w:hAnsi="Times New Roman"/>
                <w:color w:val="000000"/>
                <w:kern w:val="0"/>
                <w:sz w:val="15"/>
                <w:szCs w:val="15"/>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3060" w:type="dxa"/>
            <w:vMerge w:val="continue"/>
            <w:vAlign w:val="center"/>
          </w:tcPr>
          <w:p>
            <w:pPr>
              <w:widowControl/>
              <w:rPr>
                <w:rFonts w:ascii="黑体" w:hAnsi="宋体" w:eastAsia="黑体" w:cs="宋体"/>
                <w:color w:val="000000"/>
                <w:kern w:val="0"/>
                <w:sz w:val="22"/>
              </w:rPr>
            </w:pPr>
          </w:p>
        </w:tc>
        <w:tc>
          <w:tcPr>
            <w:tcW w:w="2036" w:type="dxa"/>
            <w:vMerge w:val="continue"/>
            <w:vAlign w:val="center"/>
          </w:tcPr>
          <w:p>
            <w:pPr>
              <w:widowControl/>
              <w:jc w:val="left"/>
              <w:rPr>
                <w:rFonts w:ascii="黑体" w:hAnsi="宋体" w:eastAsia="黑体" w:cs="宋体"/>
                <w:color w:val="000000"/>
                <w:kern w:val="0"/>
                <w:sz w:val="22"/>
              </w:rPr>
            </w:pPr>
          </w:p>
        </w:tc>
        <w:tc>
          <w:tcPr>
            <w:tcW w:w="1620" w:type="dxa"/>
            <w:vMerge w:val="continue"/>
            <w:vAlign w:val="center"/>
          </w:tcPr>
          <w:p>
            <w:pPr>
              <w:widowControl/>
              <w:jc w:val="left"/>
              <w:rPr>
                <w:rFonts w:ascii="黑体" w:hAnsi="宋体" w:eastAsia="黑体" w:cs="宋体"/>
                <w:color w:val="000000"/>
                <w:kern w:val="0"/>
                <w:sz w:val="22"/>
              </w:rPr>
            </w:pPr>
          </w:p>
        </w:tc>
        <w:tc>
          <w:tcPr>
            <w:tcW w:w="1024" w:type="dxa"/>
            <w:vMerge w:val="continue"/>
            <w:vAlign w:val="center"/>
          </w:tcPr>
          <w:p>
            <w:pPr>
              <w:widowControl/>
              <w:jc w:val="left"/>
              <w:rPr>
                <w:rFonts w:ascii="黑体" w:hAnsi="宋体" w:eastAsia="黑体" w:cs="宋体"/>
                <w:color w:val="000000"/>
                <w:kern w:val="0"/>
                <w:sz w:val="22"/>
              </w:rPr>
            </w:pPr>
          </w:p>
        </w:tc>
        <w:tc>
          <w:tcPr>
            <w:tcW w:w="1496" w:type="dxa"/>
            <w:vMerge w:val="continue"/>
            <w:vAlign w:val="center"/>
          </w:tcPr>
          <w:p>
            <w:pPr>
              <w:widowControl/>
              <w:jc w:val="left"/>
              <w:rPr>
                <w:rFonts w:ascii="黑体" w:hAnsi="宋体" w:eastAsia="黑体" w:cs="宋体"/>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4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3</w:t>
            </w:r>
          </w:p>
        </w:tc>
        <w:tc>
          <w:tcPr>
            <w:tcW w:w="720" w:type="dxa"/>
            <w:vMerge w:val="restart"/>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社会保险登记</w:t>
            </w:r>
          </w:p>
          <w:p>
            <w:pP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1080" w:type="dxa"/>
            <w:vAlign w:val="center"/>
          </w:tcPr>
          <w:p>
            <w:pPr>
              <w:rPr>
                <w:rFonts w:ascii="仿宋_GB2312" w:hAnsi="宋体" w:eastAsia="仿宋_GB2312"/>
                <w:color w:val="000000"/>
                <w:sz w:val="18"/>
                <w:szCs w:val="18"/>
              </w:rPr>
            </w:pPr>
          </w:p>
        </w:tc>
        <w:tc>
          <w:tcPr>
            <w:tcW w:w="3060" w:type="dxa"/>
            <w:vMerge w:val="restart"/>
            <w:vAlign w:val="center"/>
          </w:tcPr>
          <w:p>
            <w:pPr>
              <w:jc w:val="left"/>
              <w:rPr>
                <w:rFonts w:ascii="仿宋_GB2312" w:hAnsi="宋体" w:eastAsia="仿宋_GB2312"/>
                <w:color w:val="000000"/>
                <w:sz w:val="18"/>
                <w:szCs w:val="18"/>
              </w:rPr>
            </w:pPr>
            <w:r>
              <w:rPr>
                <w:rFonts w:hint="eastAsia" w:ascii="仿宋_GB2312" w:hAnsi="宋体" w:eastAsia="仿宋_GB2312"/>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《政府信息公开条例》、《社会保险法》、《社会保险费征缴暂行条例》</w:t>
            </w:r>
          </w:p>
          <w:p>
            <w:pPr>
              <w:rPr>
                <w:rFonts w:ascii="仿宋_GB2312" w:hAnsi="宋体" w:eastAsia="仿宋_GB2312"/>
                <w:color w:val="000000"/>
                <w:sz w:val="18"/>
                <w:szCs w:val="18"/>
              </w:rPr>
            </w:pPr>
          </w:p>
        </w:tc>
        <w:tc>
          <w:tcPr>
            <w:tcW w:w="1620"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p>
            <w:pPr>
              <w:rPr>
                <w:rFonts w:ascii="仿宋_GB2312" w:hAnsi="宋体" w:eastAsia="仿宋_GB2312"/>
                <w:color w:val="000000"/>
                <w:sz w:val="18"/>
                <w:szCs w:val="18"/>
              </w:rPr>
            </w:pPr>
          </w:p>
        </w:tc>
        <w:tc>
          <w:tcPr>
            <w:tcW w:w="1024"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p>
            <w:pPr>
              <w:rPr>
                <w:rFonts w:ascii="仿宋_GB2312" w:hAnsi="宋体" w:eastAsia="仿宋_GB2312"/>
                <w:color w:val="000000"/>
                <w:sz w:val="18"/>
                <w:szCs w:val="18"/>
              </w:rPr>
            </w:pPr>
          </w:p>
        </w:tc>
        <w:tc>
          <w:tcPr>
            <w:tcW w:w="149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4</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职工参保登记</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5</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城乡居民养老保险参保登记</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6</w:t>
            </w:r>
          </w:p>
        </w:tc>
        <w:tc>
          <w:tcPr>
            <w:tcW w:w="720" w:type="dxa"/>
            <w:vMerge w:val="restart"/>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社会保险参保信息维护</w:t>
            </w:r>
          </w:p>
        </w:tc>
        <w:tc>
          <w:tcPr>
            <w:tcW w:w="1080" w:type="dxa"/>
            <w:vAlign w:val="center"/>
          </w:tcPr>
          <w:p>
            <w:pPr>
              <w:rPr>
                <w:rFonts w:ascii="仿宋_GB2312" w:hAnsi="宋体" w:eastAsia="仿宋_GB2312"/>
                <w:color w:val="000000"/>
                <w:sz w:val="18"/>
                <w:szCs w:val="18"/>
              </w:rPr>
            </w:pPr>
          </w:p>
        </w:tc>
        <w:tc>
          <w:tcPr>
            <w:tcW w:w="3060" w:type="dxa"/>
            <w:vMerge w:val="restart"/>
            <w:vAlign w:val="center"/>
          </w:tcPr>
          <w:p>
            <w:pPr>
              <w:jc w:val="left"/>
              <w:rPr>
                <w:rFonts w:ascii="仿宋_GB2312" w:hAnsi="宋体" w:eastAsia="仿宋_GB2312"/>
                <w:color w:val="000000"/>
                <w:sz w:val="18"/>
                <w:szCs w:val="18"/>
              </w:rPr>
            </w:pPr>
            <w:r>
              <w:rPr>
                <w:rFonts w:hint="eastAsia" w:ascii="仿宋_GB2312" w:hAnsi="宋体" w:eastAsia="仿宋_GB2312"/>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《政府信息公开条例》、《社会保险法》、《社会保险费征缴暂行条例》</w:t>
            </w:r>
          </w:p>
        </w:tc>
        <w:tc>
          <w:tcPr>
            <w:tcW w:w="1620"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tc>
        <w:tc>
          <w:tcPr>
            <w:tcW w:w="1024"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tc>
        <w:tc>
          <w:tcPr>
            <w:tcW w:w="149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7</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个人基本信息变更</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12</w:t>
            </w:r>
          </w:p>
        </w:tc>
        <w:tc>
          <w:tcPr>
            <w:tcW w:w="720" w:type="dxa"/>
            <w:vMerge w:val="restart"/>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社会保险缴费申报</w:t>
            </w: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社会保险缴费申报与变更</w:t>
            </w:r>
          </w:p>
        </w:tc>
        <w:tc>
          <w:tcPr>
            <w:tcW w:w="3060" w:type="dxa"/>
            <w:vMerge w:val="restart"/>
            <w:vAlign w:val="center"/>
          </w:tcPr>
          <w:p>
            <w:pPr>
              <w:jc w:val="left"/>
              <w:rPr>
                <w:rFonts w:ascii="仿宋_GB2312" w:hAnsi="宋体" w:eastAsia="仿宋_GB2312"/>
                <w:color w:val="000000"/>
                <w:sz w:val="18"/>
                <w:szCs w:val="18"/>
              </w:rPr>
            </w:pPr>
            <w:r>
              <w:rPr>
                <w:rFonts w:hint="eastAsia" w:ascii="仿宋_GB2312" w:hAnsi="宋体" w:eastAsia="仿宋_GB2312"/>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《政府信息公开条例》、《社会保险法》、《社会保险费征缴暂行条例》</w:t>
            </w:r>
          </w:p>
          <w:p>
            <w:pPr>
              <w:rPr>
                <w:rFonts w:ascii="仿宋_GB2312" w:hAnsi="宋体" w:eastAsia="仿宋_GB2312"/>
                <w:color w:val="000000"/>
                <w:sz w:val="18"/>
                <w:szCs w:val="18"/>
              </w:rPr>
            </w:pPr>
          </w:p>
        </w:tc>
        <w:tc>
          <w:tcPr>
            <w:tcW w:w="1620"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p>
            <w:pPr>
              <w:rPr>
                <w:rFonts w:ascii="仿宋_GB2312" w:hAnsi="宋体" w:eastAsia="仿宋_GB2312"/>
                <w:color w:val="000000"/>
                <w:sz w:val="18"/>
                <w:szCs w:val="18"/>
              </w:rPr>
            </w:pPr>
          </w:p>
        </w:tc>
        <w:tc>
          <w:tcPr>
            <w:tcW w:w="1024"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p>
            <w:pPr>
              <w:rPr>
                <w:rFonts w:ascii="仿宋_GB2312" w:hAnsi="宋体" w:eastAsia="仿宋_GB2312"/>
                <w:color w:val="000000"/>
                <w:sz w:val="18"/>
                <w:szCs w:val="18"/>
              </w:rPr>
            </w:pPr>
          </w:p>
        </w:tc>
        <w:tc>
          <w:tcPr>
            <w:tcW w:w="149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13</w:t>
            </w:r>
          </w:p>
        </w:tc>
        <w:tc>
          <w:tcPr>
            <w:tcW w:w="720" w:type="dxa"/>
            <w:vMerge w:val="continue"/>
            <w:vAlign w:val="center"/>
          </w:tcPr>
          <w:p>
            <w:pPr>
              <w:jc w:val="cente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社会保险费延缴申请</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9" w:hRule="atLeas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14</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社会保险费欠费补缴申报</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17</w:t>
            </w:r>
          </w:p>
        </w:tc>
        <w:tc>
          <w:tcPr>
            <w:tcW w:w="720" w:type="dxa"/>
            <w:vMerge w:val="restart"/>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养老保险服务</w:t>
            </w:r>
          </w:p>
        </w:tc>
        <w:tc>
          <w:tcPr>
            <w:tcW w:w="1080" w:type="dxa"/>
            <w:vAlign w:val="center"/>
          </w:tcPr>
          <w:p>
            <w:pPr>
              <w:rPr>
                <w:rFonts w:ascii="仿宋_GB2312" w:hAnsi="宋体" w:eastAsia="仿宋_GB2312"/>
                <w:color w:val="000000"/>
                <w:sz w:val="18"/>
                <w:szCs w:val="18"/>
              </w:rPr>
            </w:pPr>
          </w:p>
        </w:tc>
        <w:tc>
          <w:tcPr>
            <w:tcW w:w="3060" w:type="dxa"/>
            <w:vMerge w:val="restart"/>
            <w:vAlign w:val="center"/>
          </w:tcPr>
          <w:p>
            <w:pPr>
              <w:jc w:val="left"/>
              <w:rPr>
                <w:rFonts w:ascii="仿宋_GB2312" w:hAnsi="宋体" w:eastAsia="仿宋_GB2312"/>
                <w:color w:val="000000"/>
                <w:sz w:val="18"/>
                <w:szCs w:val="18"/>
              </w:rPr>
            </w:pPr>
            <w:r>
              <w:rPr>
                <w:rFonts w:hint="eastAsia" w:ascii="仿宋_GB2312" w:hAnsi="宋体" w:eastAsia="仿宋_GB2312"/>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《政府信息公开条例》、《社会保险法》、《劳动保险条例》</w:t>
            </w:r>
          </w:p>
          <w:p>
            <w:pPr>
              <w:rPr>
                <w:rFonts w:ascii="仿宋_GB2312" w:hAnsi="宋体" w:eastAsia="仿宋_GB2312"/>
                <w:color w:val="000000"/>
                <w:sz w:val="18"/>
                <w:szCs w:val="18"/>
              </w:rPr>
            </w:pPr>
          </w:p>
        </w:tc>
        <w:tc>
          <w:tcPr>
            <w:tcW w:w="1620"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p>
            <w:pPr>
              <w:rPr>
                <w:rFonts w:ascii="仿宋_GB2312" w:hAnsi="宋体" w:eastAsia="仿宋_GB2312"/>
                <w:color w:val="000000"/>
                <w:sz w:val="18"/>
                <w:szCs w:val="18"/>
              </w:rPr>
            </w:pPr>
          </w:p>
        </w:tc>
        <w:tc>
          <w:tcPr>
            <w:tcW w:w="1024"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p>
            <w:pPr>
              <w:rPr>
                <w:rFonts w:ascii="仿宋_GB2312" w:hAnsi="宋体" w:eastAsia="仿宋_GB2312"/>
                <w:color w:val="000000"/>
                <w:sz w:val="18"/>
                <w:szCs w:val="18"/>
              </w:rPr>
            </w:pPr>
          </w:p>
        </w:tc>
        <w:tc>
          <w:tcPr>
            <w:tcW w:w="149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18</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城乡居民养老保险待遇申领</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19</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暂停养老保险待遇申请</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20</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恢复养老保险待遇申请</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21</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个人账户一次性待遇申领</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22</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丧葬补助金、抚恤金申领</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28</w:t>
            </w:r>
          </w:p>
        </w:tc>
        <w:tc>
          <w:tcPr>
            <w:tcW w:w="720" w:type="dxa"/>
            <w:vMerge w:val="restart"/>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养老保险服务</w:t>
            </w: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城乡居民基本养老保险关系转移接续申请</w:t>
            </w:r>
          </w:p>
        </w:tc>
        <w:tc>
          <w:tcPr>
            <w:tcW w:w="3060" w:type="dxa"/>
            <w:vMerge w:val="restart"/>
            <w:vAlign w:val="center"/>
          </w:tcPr>
          <w:p>
            <w:pPr>
              <w:jc w:val="left"/>
              <w:rPr>
                <w:rFonts w:ascii="仿宋_GB2312" w:hAnsi="宋体" w:eastAsia="仿宋_GB2312"/>
                <w:color w:val="000000"/>
                <w:sz w:val="18"/>
                <w:szCs w:val="18"/>
              </w:rPr>
            </w:pPr>
            <w:r>
              <w:rPr>
                <w:rFonts w:hint="eastAsia" w:ascii="仿宋_GB2312" w:hAnsi="宋体" w:eastAsia="仿宋_GB2312"/>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《政府信息公开条例》、《社会保险法》、《劳动保险条例》</w:t>
            </w:r>
          </w:p>
        </w:tc>
        <w:tc>
          <w:tcPr>
            <w:tcW w:w="162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tc>
        <w:tc>
          <w:tcPr>
            <w:tcW w:w="1024"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tc>
        <w:tc>
          <w:tcPr>
            <w:tcW w:w="1496"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29</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p>
        </w:tc>
        <w:tc>
          <w:tcPr>
            <w:tcW w:w="3060" w:type="dxa"/>
            <w:vMerge w:val="continue"/>
            <w:vAlign w:val="center"/>
          </w:tcPr>
          <w:p>
            <w:pPr>
              <w:jc w:val="left"/>
              <w:rPr>
                <w:rFonts w:ascii="仿宋_GB2312" w:hAnsi="宋体" w:eastAsia="仿宋_GB2312"/>
                <w:color w:val="000000"/>
                <w:sz w:val="18"/>
                <w:szCs w:val="18"/>
              </w:rPr>
            </w:pPr>
          </w:p>
        </w:tc>
        <w:tc>
          <w:tcPr>
            <w:tcW w:w="2036"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《政府信息公开条例》、《社会保险法》、《人力资源社会保障部财政部关于机关事业单位基本养老保险关系和职业年金转移接续有关问题的通知》</w:t>
            </w:r>
          </w:p>
        </w:tc>
        <w:tc>
          <w:tcPr>
            <w:tcW w:w="162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tc>
        <w:tc>
          <w:tcPr>
            <w:tcW w:w="1024"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tc>
        <w:tc>
          <w:tcPr>
            <w:tcW w:w="1496"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30</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城镇职工基本养老保险与城乡居民基本养老保险制度衔接申请  </w:t>
            </w:r>
          </w:p>
        </w:tc>
        <w:tc>
          <w:tcPr>
            <w:tcW w:w="3060" w:type="dxa"/>
            <w:vMerge w:val="continue"/>
            <w:vAlign w:val="center"/>
          </w:tcPr>
          <w:p>
            <w:pPr>
              <w:jc w:val="left"/>
              <w:rPr>
                <w:rFonts w:ascii="仿宋_GB2312" w:hAnsi="宋体" w:eastAsia="仿宋_GB2312"/>
                <w:color w:val="000000"/>
                <w:sz w:val="18"/>
                <w:szCs w:val="18"/>
              </w:rPr>
            </w:pPr>
          </w:p>
        </w:tc>
        <w:tc>
          <w:tcPr>
            <w:tcW w:w="2036"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《政府信息公开条例》、《社会保险法》《人力资源社会保障部财政部关于印发＜城乡养老保险制度衔接暂行办法＞的通知》</w:t>
            </w:r>
          </w:p>
        </w:tc>
        <w:tc>
          <w:tcPr>
            <w:tcW w:w="162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tc>
        <w:tc>
          <w:tcPr>
            <w:tcW w:w="1024"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tc>
        <w:tc>
          <w:tcPr>
            <w:tcW w:w="1496"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38</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p>
        </w:tc>
        <w:tc>
          <w:tcPr>
            <w:tcW w:w="3060" w:type="dxa"/>
            <w:vMerge w:val="continue"/>
            <w:vAlign w:val="center"/>
          </w:tcPr>
          <w:p>
            <w:pPr>
              <w:jc w:val="left"/>
              <w:rPr>
                <w:rFonts w:ascii="仿宋_GB2312" w:hAnsi="宋体" w:eastAsia="仿宋_GB2312"/>
                <w:color w:val="000000"/>
                <w:sz w:val="18"/>
                <w:szCs w:val="18"/>
              </w:rPr>
            </w:pPr>
          </w:p>
        </w:tc>
        <w:tc>
          <w:tcPr>
            <w:tcW w:w="2036" w:type="dxa"/>
            <w:vMerge w:val="restart"/>
            <w:vAlign w:val="center"/>
          </w:tcPr>
          <w:p>
            <w:pPr>
              <w:rPr>
                <w:rFonts w:ascii="仿宋_GB2312" w:hAnsi="宋体" w:eastAsia="仿宋_GB2312"/>
                <w:color w:val="000000"/>
                <w:sz w:val="18"/>
                <w:szCs w:val="18"/>
              </w:rPr>
            </w:pPr>
          </w:p>
        </w:tc>
        <w:tc>
          <w:tcPr>
            <w:tcW w:w="1620" w:type="dxa"/>
            <w:vMerge w:val="restart"/>
            <w:vAlign w:val="center"/>
          </w:tcPr>
          <w:p>
            <w:pPr>
              <w:rPr>
                <w:rFonts w:ascii="仿宋_GB2312" w:hAnsi="宋体" w:eastAsia="仿宋_GB2312"/>
                <w:color w:val="000000"/>
                <w:sz w:val="18"/>
                <w:szCs w:val="18"/>
              </w:rPr>
            </w:pPr>
          </w:p>
        </w:tc>
        <w:tc>
          <w:tcPr>
            <w:tcW w:w="1024" w:type="dxa"/>
            <w:vMerge w:val="restart"/>
            <w:vAlign w:val="center"/>
          </w:tcPr>
          <w:p>
            <w:pPr>
              <w:rPr>
                <w:rFonts w:ascii="仿宋_GB2312" w:hAnsi="宋体" w:eastAsia="仿宋_GB2312"/>
                <w:color w:val="000000"/>
                <w:sz w:val="18"/>
                <w:szCs w:val="18"/>
              </w:rPr>
            </w:pPr>
          </w:p>
        </w:tc>
        <w:tc>
          <w:tcPr>
            <w:tcW w:w="1496" w:type="dxa"/>
            <w:vMerge w:val="restart"/>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39</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异地居住就医申请确认</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p>
        </w:tc>
        <w:tc>
          <w:tcPr>
            <w:tcW w:w="540" w:type="dxa"/>
            <w:vAlign w:val="center"/>
          </w:tcPr>
          <w:p>
            <w:pPr>
              <w:jc w:val="cente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57</w:t>
            </w:r>
          </w:p>
        </w:tc>
        <w:tc>
          <w:tcPr>
            <w:tcW w:w="720" w:type="dxa"/>
            <w:vMerge w:val="restart"/>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失业保险服务</w:t>
            </w: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失业保险金申领</w:t>
            </w:r>
          </w:p>
        </w:tc>
        <w:tc>
          <w:tcPr>
            <w:tcW w:w="3060" w:type="dxa"/>
            <w:vMerge w:val="restart"/>
            <w:vAlign w:val="center"/>
          </w:tcPr>
          <w:p>
            <w:pPr>
              <w:jc w:val="left"/>
              <w:rPr>
                <w:rFonts w:ascii="仿宋_GB2312" w:hAnsi="宋体" w:eastAsia="仿宋_GB2312"/>
                <w:color w:val="000000"/>
                <w:sz w:val="18"/>
                <w:szCs w:val="18"/>
              </w:rPr>
            </w:pPr>
            <w:r>
              <w:rPr>
                <w:rFonts w:hint="eastAsia" w:ascii="仿宋_GB2312" w:hAnsi="宋体" w:eastAsia="仿宋_GB2312"/>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《政府信息公开条例》、《社会保险法》、《失业保险条例》</w:t>
            </w:r>
          </w:p>
        </w:tc>
        <w:tc>
          <w:tcPr>
            <w:tcW w:w="1620"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tc>
        <w:tc>
          <w:tcPr>
            <w:tcW w:w="1024"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w:t>
            </w:r>
          </w:p>
        </w:tc>
        <w:tc>
          <w:tcPr>
            <w:tcW w:w="149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58</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丧葬补助金和抚恤金申领</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59</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职业培训补贴申领</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60</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61</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9" w:hRule="atLeas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62</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代缴基本医疗保险费</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71</w:t>
            </w:r>
          </w:p>
        </w:tc>
        <w:tc>
          <w:tcPr>
            <w:tcW w:w="720" w:type="dxa"/>
            <w:vMerge w:val="restart"/>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社会保障卡服务</w:t>
            </w:r>
          </w:p>
        </w:tc>
        <w:tc>
          <w:tcPr>
            <w:tcW w:w="1080" w:type="dxa"/>
            <w:vAlign w:val="center"/>
          </w:tcPr>
          <w:p>
            <w:pPr>
              <w:rPr>
                <w:rFonts w:ascii="仿宋_GB2312" w:hAnsi="宋体" w:eastAsia="仿宋_GB2312"/>
                <w:color w:val="000000"/>
                <w:sz w:val="18"/>
                <w:szCs w:val="18"/>
              </w:rPr>
            </w:pPr>
          </w:p>
        </w:tc>
        <w:tc>
          <w:tcPr>
            <w:tcW w:w="3060" w:type="dxa"/>
            <w:vMerge w:val="restart"/>
            <w:vAlign w:val="center"/>
          </w:tcPr>
          <w:p>
            <w:pPr>
              <w:jc w:val="left"/>
              <w:rPr>
                <w:rFonts w:ascii="仿宋_GB2312" w:hAnsi="宋体" w:eastAsia="仿宋_GB2312"/>
                <w:color w:val="000000"/>
                <w:sz w:val="18"/>
                <w:szCs w:val="18"/>
              </w:rPr>
            </w:pPr>
            <w:r>
              <w:rPr>
                <w:rFonts w:hint="eastAsia" w:ascii="仿宋_GB2312" w:hAnsi="宋体" w:eastAsia="仿宋_GB2312"/>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《政府信息公开条例》、《社会保险法》、《人力资源和社会保障部关于印发“中华人民共和国社会保障卡”管理办法的通知》</w:t>
            </w:r>
          </w:p>
        </w:tc>
        <w:tc>
          <w:tcPr>
            <w:tcW w:w="1620"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公开事项信息形成或变更之日起20个工作日内公开</w:t>
            </w:r>
          </w:p>
        </w:tc>
        <w:tc>
          <w:tcPr>
            <w:tcW w:w="1024"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人力资源社会保障部门（或社会保障卡管理部门）</w:t>
            </w:r>
          </w:p>
        </w:tc>
        <w:tc>
          <w:tcPr>
            <w:tcW w:w="1496" w:type="dxa"/>
            <w:vMerge w:val="restart"/>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 xml:space="preserve">■政府网站    </w:t>
            </w:r>
          </w:p>
          <w:p>
            <w:pPr>
              <w:rPr>
                <w:rFonts w:ascii="仿宋_GB2312" w:hAnsi="宋体" w:eastAsia="仿宋_GB2312"/>
                <w:color w:val="000000"/>
                <w:sz w:val="18"/>
                <w:szCs w:val="18"/>
              </w:rPr>
            </w:pPr>
            <w:r>
              <w:rPr>
                <w:rFonts w:hint="eastAsia" w:ascii="仿宋_GB2312" w:hAnsi="宋体" w:eastAsia="仿宋_GB2312"/>
                <w:color w:val="000000"/>
                <w:sz w:val="18"/>
                <w:szCs w:val="18"/>
              </w:rPr>
              <w:t>■政务服务中心</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■基层公共服务平台</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72</w:t>
            </w:r>
          </w:p>
        </w:tc>
        <w:tc>
          <w:tcPr>
            <w:tcW w:w="720" w:type="dxa"/>
            <w:vMerge w:val="continue"/>
            <w:vAlign w:val="center"/>
          </w:tcPr>
          <w:p>
            <w:pPr>
              <w:jc w:val="cente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73</w:t>
            </w:r>
          </w:p>
        </w:tc>
        <w:tc>
          <w:tcPr>
            <w:tcW w:w="720" w:type="dxa"/>
            <w:vMerge w:val="continue"/>
            <w:vAlign w:val="center"/>
          </w:tcPr>
          <w:p>
            <w:pPr>
              <w:jc w:val="cente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社会保障卡应用状态查询</w:t>
            </w:r>
          </w:p>
        </w:tc>
        <w:tc>
          <w:tcPr>
            <w:tcW w:w="3060" w:type="dxa"/>
            <w:vMerge w:val="continue"/>
            <w:vAlign w:val="center"/>
          </w:tcPr>
          <w:p>
            <w:pPr>
              <w:jc w:val="left"/>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76</w:t>
            </w:r>
          </w:p>
        </w:tc>
        <w:tc>
          <w:tcPr>
            <w:tcW w:w="720" w:type="dxa"/>
            <w:vMerge w:val="continue"/>
            <w:vAlign w:val="center"/>
          </w:tcPr>
          <w:p>
            <w:pPr>
              <w:jc w:val="cente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社会保障卡挂失与解挂</w:t>
            </w:r>
          </w:p>
        </w:tc>
        <w:tc>
          <w:tcPr>
            <w:tcW w:w="3060" w:type="dxa"/>
            <w:vMerge w:val="continue"/>
            <w:vAlign w:val="center"/>
          </w:tcPr>
          <w:p>
            <w:pPr>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77</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社会保障卡补换、换领、换发</w:t>
            </w:r>
          </w:p>
        </w:tc>
        <w:tc>
          <w:tcPr>
            <w:tcW w:w="3060" w:type="dxa"/>
            <w:vMerge w:val="continue"/>
            <w:vAlign w:val="center"/>
          </w:tcPr>
          <w:p>
            <w:pPr>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78</w:t>
            </w:r>
          </w:p>
        </w:tc>
        <w:tc>
          <w:tcPr>
            <w:tcW w:w="720" w:type="dxa"/>
            <w:vMerge w:val="continue"/>
            <w:vAlign w:val="center"/>
          </w:tcPr>
          <w:p>
            <w:pPr>
              <w:rPr>
                <w:rFonts w:ascii="仿宋_GB2312" w:hAnsi="宋体" w:eastAsia="仿宋_GB2312"/>
                <w:color w:val="000000"/>
                <w:sz w:val="18"/>
                <w:szCs w:val="18"/>
              </w:rPr>
            </w:pPr>
          </w:p>
        </w:tc>
        <w:tc>
          <w:tcPr>
            <w:tcW w:w="1080" w:type="dxa"/>
            <w:vAlign w:val="center"/>
          </w:tcPr>
          <w:p>
            <w:pPr>
              <w:rPr>
                <w:rFonts w:ascii="仿宋_GB2312" w:hAnsi="宋体" w:eastAsia="仿宋_GB2312"/>
                <w:color w:val="000000"/>
                <w:sz w:val="18"/>
                <w:szCs w:val="18"/>
              </w:rPr>
            </w:pPr>
          </w:p>
        </w:tc>
        <w:tc>
          <w:tcPr>
            <w:tcW w:w="3060" w:type="dxa"/>
            <w:vMerge w:val="continue"/>
            <w:vAlign w:val="center"/>
          </w:tcPr>
          <w:p>
            <w:pPr>
              <w:rPr>
                <w:rFonts w:ascii="仿宋_GB2312" w:hAnsi="宋体" w:eastAsia="仿宋_GB2312"/>
                <w:color w:val="000000"/>
                <w:sz w:val="18"/>
                <w:szCs w:val="18"/>
              </w:rPr>
            </w:pPr>
          </w:p>
        </w:tc>
        <w:tc>
          <w:tcPr>
            <w:tcW w:w="2036" w:type="dxa"/>
            <w:vMerge w:val="continue"/>
            <w:vAlign w:val="center"/>
          </w:tcPr>
          <w:p>
            <w:pPr>
              <w:rPr>
                <w:rFonts w:ascii="仿宋_GB2312" w:hAnsi="宋体" w:eastAsia="仿宋_GB2312"/>
                <w:color w:val="000000"/>
                <w:sz w:val="18"/>
                <w:szCs w:val="18"/>
              </w:rPr>
            </w:pPr>
          </w:p>
        </w:tc>
        <w:tc>
          <w:tcPr>
            <w:tcW w:w="1620" w:type="dxa"/>
            <w:vMerge w:val="continue"/>
            <w:vAlign w:val="center"/>
          </w:tcPr>
          <w:p>
            <w:pPr>
              <w:rPr>
                <w:rFonts w:ascii="仿宋_GB2312" w:hAnsi="宋体" w:eastAsia="仿宋_GB2312"/>
                <w:color w:val="000000"/>
                <w:sz w:val="18"/>
                <w:szCs w:val="18"/>
              </w:rPr>
            </w:pPr>
          </w:p>
        </w:tc>
        <w:tc>
          <w:tcPr>
            <w:tcW w:w="1024" w:type="dxa"/>
            <w:vMerge w:val="continue"/>
            <w:vAlign w:val="center"/>
          </w:tcPr>
          <w:p>
            <w:pPr>
              <w:rPr>
                <w:rFonts w:ascii="仿宋_GB2312" w:hAnsi="宋体" w:eastAsia="仿宋_GB2312"/>
                <w:color w:val="000000"/>
                <w:sz w:val="18"/>
                <w:szCs w:val="18"/>
              </w:rPr>
            </w:pPr>
          </w:p>
        </w:tc>
        <w:tc>
          <w:tcPr>
            <w:tcW w:w="1496" w:type="dxa"/>
            <w:vMerge w:val="continue"/>
            <w:vAlign w:val="center"/>
          </w:tcPr>
          <w:p>
            <w:pPr>
              <w:rPr>
                <w:rFonts w:ascii="仿宋_GB2312" w:hAnsi="宋体" w:eastAsia="仿宋_GB2312"/>
                <w:color w:val="000000"/>
                <w:sz w:val="18"/>
                <w:szCs w:val="18"/>
              </w:rPr>
            </w:pP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54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010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2020-05-29T02:14:10Z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