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32"/>
          <w:szCs w:val="20"/>
        </w:rPr>
      </w:pPr>
    </w:p>
    <w:p>
      <w:pPr>
        <w:rPr>
          <w:rFonts w:eastAsia="仿宋_GB2312"/>
          <w:sz w:val="32"/>
          <w:szCs w:val="20"/>
        </w:rPr>
      </w:pPr>
    </w:p>
    <w:p>
      <w:pPr>
        <w:rPr>
          <w:rFonts w:eastAsia="仿宋_GB2312"/>
          <w:sz w:val="32"/>
          <w:szCs w:val="20"/>
        </w:rPr>
      </w:pPr>
      <w:r>
        <w:rPr>
          <w:rFonts w:eastAsia="黑体"/>
          <w:szCs w:val="32"/>
        </w:rPr>
        <w:pict>
          <v:shape id="WJBT2" o:spid="_x0000_s1026" o:spt="202" type="#_x0000_t202" style="position:absolute;left:0pt;margin-top:-28.35pt;height:26pt;width:36.85pt;mso-position-horizontal:center;mso-position-vertical-relative:page;z-index:251661312;mso-width-relative:page;mso-height-relative:page;" stroked="f" coordsize="21600,21600" o:gfxdata="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khcu99YAAAAGAQAADwAAAAAAAAABACAAAAAiAAAAZHJzL2Rvd25y&#10;ZXYueG1sUEsBAhQAFAAAAAgAh07iQAZjTpXHAQAAogMAAA4AAAAAAAAAAQAgAAAAJQEAAGRycy9l&#10;Mm9Eb2MueG1sUEsFBgAAAAAGAAYAWQEAAF4FAAAAAA==&#10;">
            <v:path/>
            <v:fill focussize="0,0"/>
            <v:stroke on="f" joinstyle="miter"/>
            <v:imagedata o:title=""/>
            <o:lock v:ext="edit"/>
            <v:textbox inset="0mm,0mm,0mm,0mm">
              <w:txbxContent>
                <w:p>
                  <w:pPr>
                    <w:spacing w:line="520" w:lineRule="exact"/>
                    <w:jc w:val="distribute"/>
                    <w:rPr>
                      <w:sz w:val="48"/>
                      <w:szCs w:val="48"/>
                    </w:rPr>
                  </w:pPr>
                  <w:r>
                    <w:rPr>
                      <w:rFonts w:hint="eastAsia"/>
                      <w:color w:val="FF0000"/>
                      <w:sz w:val="48"/>
                      <w:szCs w:val="48"/>
                    </w:rPr>
                    <w:t>★</w:t>
                  </w:r>
                </w:p>
              </w:txbxContent>
            </v:textbox>
            <w10:anchorlock/>
          </v:shape>
        </w:pict>
      </w:r>
    </w:p>
    <w:p>
      <w:pPr>
        <w:pStyle w:val="4"/>
        <w:snapToGrid w:val="0"/>
        <w:jc w:val="center"/>
        <w:rPr>
          <w:rFonts w:ascii="方正小标宋简体" w:hAnsi="Times New Roman" w:eastAsia="方正小标宋简体"/>
          <w:szCs w:val="44"/>
        </w:rPr>
      </w:pPr>
      <w:r>
        <w:rPr>
          <w:rFonts w:hint="eastAsia" w:ascii="方正小标宋简体" w:eastAsia="方正小标宋简体"/>
        </w:rPr>
        <w:t>天津市红桥区人民政府办公室</w:t>
      </w:r>
      <w:r>
        <w:rPr>
          <w:rFonts w:hint="eastAsia" w:ascii="方正小标宋简体" w:hAnsi="方正小标宋简体" w:eastAsia="方正小标宋简体"/>
          <w:szCs w:val="44"/>
        </w:rPr>
        <w:t>关于印发</w:t>
      </w:r>
    </w:p>
    <w:p>
      <w:pPr>
        <w:pStyle w:val="4"/>
        <w:snapToGrid w:val="0"/>
        <w:jc w:val="center"/>
        <w:rPr>
          <w:rFonts w:ascii="方正小标宋简体" w:hAnsi="Times New Roman" w:eastAsia="方正小标宋简体"/>
        </w:rPr>
      </w:pPr>
      <w:r>
        <w:rPr>
          <w:rFonts w:hint="eastAsia" w:ascii="方正小标宋简体" w:hAnsi="方正小标宋简体" w:eastAsia="方正小标宋简体"/>
          <w:szCs w:val="44"/>
        </w:rPr>
        <w:t>红桥区应急管理</w:t>
      </w:r>
      <w:r>
        <w:rPr>
          <w:rFonts w:hint="eastAsia" w:ascii="方正小标宋简体" w:hAnsi="Times New Roman" w:eastAsia="方正小标宋简体"/>
          <w:szCs w:val="44"/>
        </w:rPr>
        <w:t>“</w:t>
      </w:r>
      <w:r>
        <w:rPr>
          <w:rFonts w:hint="eastAsia" w:ascii="方正小标宋简体" w:hAnsi="方正小标宋简体" w:eastAsia="方正小标宋简体"/>
          <w:szCs w:val="44"/>
        </w:rPr>
        <w:t>十四五</w:t>
      </w:r>
      <w:r>
        <w:rPr>
          <w:rFonts w:hint="eastAsia" w:ascii="方正小标宋简体" w:hAnsi="Times New Roman" w:eastAsia="方正小标宋简体"/>
          <w:szCs w:val="44"/>
        </w:rPr>
        <w:t>”</w:t>
      </w:r>
      <w:r>
        <w:rPr>
          <w:rFonts w:hint="eastAsia" w:ascii="方正小标宋简体" w:hAnsi="方正小标宋简体" w:eastAsia="方正小标宋简体"/>
          <w:szCs w:val="44"/>
        </w:rPr>
        <w:t>规划的通知</w:t>
      </w:r>
    </w:p>
    <w:p>
      <w:pPr>
        <w:pStyle w:val="4"/>
        <w:rPr>
          <w:rFonts w:ascii="Times New Roman" w:hAnsi="Times New Roman" w:eastAsia="仿宋_GB2312"/>
          <w:sz w:val="32"/>
        </w:rPr>
      </w:pPr>
    </w:p>
    <w:p>
      <w:pPr>
        <w:pStyle w:val="4"/>
        <w:adjustRightInd w:val="0"/>
        <w:snapToGrid w:val="0"/>
        <w:spacing w:line="560" w:lineRule="exact"/>
        <w:rPr>
          <w:rFonts w:ascii="Times New Roman" w:hAnsi="Times New Roman" w:eastAsia="仿宋_GB2312"/>
          <w:sz w:val="32"/>
        </w:rPr>
      </w:pPr>
      <w:r>
        <w:rPr>
          <w:rFonts w:ascii="Times New Roman" w:hAnsi="Times New Roman" w:eastAsia="仿宋_GB2312"/>
          <w:sz w:val="32"/>
        </w:rPr>
        <w:t>各街道</w:t>
      </w:r>
      <w:r>
        <w:rPr>
          <w:rFonts w:hint="eastAsia" w:ascii="Times New Roman" w:hAnsi="Times New Roman" w:eastAsia="仿宋_GB2312"/>
          <w:sz w:val="32"/>
        </w:rPr>
        <w:t>办事处，</w:t>
      </w:r>
      <w:r>
        <w:rPr>
          <w:rFonts w:ascii="Times New Roman" w:hAnsi="Times New Roman" w:eastAsia="仿宋_GB2312"/>
          <w:sz w:val="32"/>
        </w:rPr>
        <w:t>各</w:t>
      </w:r>
      <w:r>
        <w:rPr>
          <w:rFonts w:hint="eastAsia" w:ascii="Times New Roman" w:hAnsi="Times New Roman" w:eastAsia="仿宋_GB2312"/>
          <w:sz w:val="32"/>
        </w:rPr>
        <w:t>相</w:t>
      </w:r>
      <w:r>
        <w:rPr>
          <w:rFonts w:ascii="Times New Roman" w:hAnsi="Times New Roman" w:eastAsia="仿宋_GB2312"/>
          <w:sz w:val="32"/>
        </w:rPr>
        <w:t>关部门：</w:t>
      </w:r>
    </w:p>
    <w:p>
      <w:pPr>
        <w:adjustRightInd w:val="0"/>
        <w:snapToGrid w:val="0"/>
        <w:spacing w:line="560" w:lineRule="exact"/>
        <w:ind w:firstLine="640" w:firstLineChars="200"/>
        <w:rPr>
          <w:rFonts w:eastAsia="仿宋_GB2312"/>
          <w:sz w:val="32"/>
          <w:szCs w:val="32"/>
        </w:rPr>
      </w:pPr>
      <w:r>
        <w:rPr>
          <w:rFonts w:eastAsia="仿宋_GB2312"/>
          <w:sz w:val="32"/>
          <w:szCs w:val="32"/>
        </w:rPr>
        <w:t>经区人民政府同意，现将《红桥区应急管理</w:t>
      </w:r>
      <w:r>
        <w:rPr>
          <w:rFonts w:hint="eastAsia" w:eastAsia="仿宋_GB2312"/>
          <w:color w:val="000000"/>
          <w:kern w:val="0"/>
          <w:sz w:val="32"/>
          <w:szCs w:val="32"/>
        </w:rPr>
        <w:t>“</w:t>
      </w:r>
      <w:r>
        <w:rPr>
          <w:rFonts w:eastAsia="仿宋_GB2312"/>
          <w:color w:val="000000"/>
          <w:kern w:val="0"/>
          <w:sz w:val="32"/>
          <w:szCs w:val="32"/>
        </w:rPr>
        <w:t>十四五</w:t>
      </w:r>
      <w:r>
        <w:rPr>
          <w:rFonts w:hint="eastAsia" w:eastAsia="仿宋_GB2312"/>
          <w:color w:val="000000"/>
          <w:kern w:val="0"/>
          <w:sz w:val="32"/>
          <w:szCs w:val="32"/>
        </w:rPr>
        <w:t>”</w:t>
      </w:r>
      <w:r>
        <w:rPr>
          <w:rFonts w:eastAsia="仿宋_GB2312"/>
          <w:sz w:val="32"/>
          <w:szCs w:val="32"/>
        </w:rPr>
        <w:t>规划》印发给你们，请遵照执行。</w:t>
      </w:r>
    </w:p>
    <w:p>
      <w:pPr>
        <w:adjustRightInd w:val="0"/>
        <w:snapToGrid w:val="0"/>
        <w:spacing w:line="560" w:lineRule="exact"/>
        <w:ind w:firstLine="640" w:firstLineChars="200"/>
        <w:rPr>
          <w:rFonts w:eastAsia="仿宋_GB2312"/>
          <w:sz w:val="32"/>
          <w:szCs w:val="32"/>
        </w:rPr>
      </w:pPr>
    </w:p>
    <w:p>
      <w:pPr>
        <w:adjustRightInd w:val="0"/>
        <w:snapToGrid w:val="0"/>
        <w:spacing w:line="560" w:lineRule="exact"/>
        <w:ind w:firstLine="640" w:firstLineChars="200"/>
        <w:rPr>
          <w:rFonts w:eastAsia="仿宋_GB2312"/>
          <w:sz w:val="32"/>
          <w:szCs w:val="32"/>
        </w:rPr>
      </w:pPr>
    </w:p>
    <w:p>
      <w:pPr>
        <w:adjustRightInd w:val="0"/>
        <w:snapToGrid w:val="0"/>
        <w:spacing w:line="560" w:lineRule="exact"/>
        <w:ind w:firstLine="640" w:firstLineChars="200"/>
        <w:rPr>
          <w:rFonts w:eastAsia="仿宋_GB2312"/>
          <w:sz w:val="32"/>
          <w:szCs w:val="32"/>
        </w:rPr>
      </w:pPr>
    </w:p>
    <w:p>
      <w:pPr>
        <w:adjustRightInd w:val="0"/>
        <w:snapToGrid w:val="0"/>
        <w:spacing w:line="560" w:lineRule="exact"/>
        <w:ind w:right="1365" w:rightChars="650" w:firstLine="640" w:firstLineChars="200"/>
        <w:jc w:val="right"/>
        <w:rPr>
          <w:rFonts w:eastAsia="仿宋_GB2312"/>
          <w:sz w:val="32"/>
          <w:szCs w:val="32"/>
        </w:rPr>
      </w:pPr>
      <w:r>
        <w:rPr>
          <w:rFonts w:eastAsia="仿宋_GB2312"/>
          <w:sz w:val="32"/>
          <w:szCs w:val="32"/>
        </w:rPr>
        <w:t>2021年11月</w:t>
      </w:r>
      <w:r>
        <w:rPr>
          <w:rFonts w:hint="eastAsia" w:eastAsia="仿宋_GB2312"/>
          <w:sz w:val="32"/>
          <w:szCs w:val="32"/>
        </w:rPr>
        <w:t>26</w:t>
      </w:r>
      <w:r>
        <w:rPr>
          <w:rFonts w:eastAsia="仿宋_GB2312"/>
          <w:sz w:val="32"/>
          <w:szCs w:val="32"/>
        </w:rPr>
        <w:t>日</w:t>
      </w:r>
    </w:p>
    <w:p>
      <w:pPr>
        <w:adjustRightInd w:val="0"/>
        <w:snapToGrid w:val="0"/>
        <w:spacing w:line="560" w:lineRule="exact"/>
        <w:ind w:right="1365" w:rightChars="650" w:firstLine="640" w:firstLineChars="200"/>
        <w:rPr>
          <w:rFonts w:eastAsia="仿宋_GB2312"/>
          <w:sz w:val="32"/>
          <w:szCs w:val="32"/>
        </w:rPr>
      </w:pPr>
      <w:r>
        <w:rPr>
          <w:rFonts w:eastAsia="仿宋_GB2312"/>
          <w:sz w:val="32"/>
          <w:szCs w:val="32"/>
        </w:rPr>
        <w:t>（此件主动公开）</w:t>
      </w:r>
    </w:p>
    <w:p>
      <w:pPr>
        <w:adjustRightInd w:val="0"/>
        <w:snapToGrid w:val="0"/>
        <w:spacing w:line="560" w:lineRule="exact"/>
        <w:ind w:right="1365" w:rightChars="650"/>
        <w:rPr>
          <w:rFonts w:eastAsia="仿宋_GB2312"/>
          <w:sz w:val="32"/>
          <w:szCs w:val="32"/>
        </w:rPr>
      </w:pPr>
    </w:p>
    <w:p>
      <w:pPr>
        <w:adjustRightInd w:val="0"/>
        <w:snapToGrid w:val="0"/>
        <w:spacing w:line="560" w:lineRule="exact"/>
        <w:ind w:right="1365" w:rightChars="650"/>
        <w:rPr>
          <w:rFonts w:eastAsia="仿宋_GB2312"/>
          <w:sz w:val="32"/>
          <w:szCs w:val="32"/>
        </w:rPr>
      </w:pPr>
    </w:p>
    <w:p>
      <w:pPr>
        <w:adjustRightInd w:val="0"/>
        <w:snapToGrid w:val="0"/>
        <w:spacing w:line="560" w:lineRule="exact"/>
        <w:ind w:right="1365" w:rightChars="650"/>
        <w:rPr>
          <w:rFonts w:eastAsia="仿宋_GB2312"/>
          <w:sz w:val="32"/>
          <w:szCs w:val="32"/>
        </w:rPr>
      </w:pPr>
    </w:p>
    <w:p>
      <w:pPr>
        <w:adjustRightInd w:val="0"/>
        <w:snapToGrid w:val="0"/>
        <w:spacing w:line="560" w:lineRule="exact"/>
        <w:ind w:right="1365" w:rightChars="650"/>
        <w:rPr>
          <w:rFonts w:eastAsia="仿宋_GB2312"/>
          <w:sz w:val="32"/>
          <w:szCs w:val="32"/>
        </w:rPr>
      </w:pPr>
    </w:p>
    <w:p>
      <w:pPr>
        <w:adjustRightInd w:val="0"/>
        <w:snapToGrid w:val="0"/>
        <w:spacing w:line="560" w:lineRule="exact"/>
        <w:ind w:right="1365" w:rightChars="650"/>
        <w:rPr>
          <w:rFonts w:eastAsia="仿宋_GB2312"/>
          <w:sz w:val="32"/>
          <w:szCs w:val="32"/>
        </w:rPr>
      </w:pPr>
    </w:p>
    <w:p>
      <w:pPr>
        <w:adjustRightInd w:val="0"/>
        <w:snapToGrid w:val="0"/>
        <w:spacing w:line="560" w:lineRule="exact"/>
        <w:ind w:right="1365" w:rightChars="650"/>
        <w:rPr>
          <w:rFonts w:eastAsia="仿宋_GB2312"/>
          <w:sz w:val="32"/>
          <w:szCs w:val="32"/>
        </w:rPr>
      </w:pPr>
    </w:p>
    <w:p>
      <w:pPr>
        <w:adjustRightInd w:val="0"/>
        <w:snapToGrid w:val="0"/>
        <w:spacing w:line="560" w:lineRule="exact"/>
        <w:ind w:right="1365" w:rightChars="650"/>
        <w:rPr>
          <w:rFonts w:eastAsia="仿宋_GB2312"/>
          <w:sz w:val="32"/>
          <w:szCs w:val="32"/>
        </w:rPr>
      </w:pPr>
    </w:p>
    <w:p>
      <w:pPr>
        <w:adjustRightInd w:val="0"/>
        <w:snapToGrid w:val="0"/>
        <w:spacing w:line="560" w:lineRule="exact"/>
        <w:ind w:right="1365" w:rightChars="650"/>
        <w:rPr>
          <w:rFonts w:eastAsia="仿宋_GB2312"/>
          <w:sz w:val="32"/>
          <w:szCs w:val="32"/>
        </w:rPr>
      </w:pPr>
    </w:p>
    <w:p>
      <w:pPr>
        <w:spacing w:line="560" w:lineRule="exact"/>
        <w:jc w:val="center"/>
        <w:rPr>
          <w:rFonts w:eastAsia="方正小标宋简体"/>
          <w:color w:val="000000"/>
          <w:sz w:val="44"/>
          <w:szCs w:val="44"/>
        </w:rPr>
      </w:pPr>
      <w:r>
        <w:rPr>
          <w:rFonts w:eastAsia="方正小标宋简体"/>
          <w:color w:val="000000"/>
          <w:sz w:val="44"/>
          <w:szCs w:val="44"/>
        </w:rPr>
        <w:t>红桥区应急管理</w:t>
      </w:r>
      <w:r>
        <w:rPr>
          <w:rFonts w:hint="eastAsia" w:eastAsia="方正小标宋简体"/>
          <w:color w:val="000000"/>
          <w:sz w:val="44"/>
          <w:szCs w:val="44"/>
        </w:rPr>
        <w:t>“</w:t>
      </w:r>
      <w:r>
        <w:rPr>
          <w:rFonts w:eastAsia="方正小标宋简体"/>
          <w:color w:val="000000"/>
          <w:sz w:val="44"/>
          <w:szCs w:val="44"/>
        </w:rPr>
        <w:t>十四五</w:t>
      </w:r>
      <w:r>
        <w:rPr>
          <w:rFonts w:hint="eastAsia" w:eastAsia="方正小标宋简体"/>
          <w:color w:val="000000"/>
          <w:sz w:val="44"/>
          <w:szCs w:val="44"/>
        </w:rPr>
        <w:t>”</w:t>
      </w:r>
      <w:r>
        <w:rPr>
          <w:rFonts w:eastAsia="方正小标宋简体"/>
          <w:color w:val="000000"/>
          <w:sz w:val="44"/>
          <w:szCs w:val="44"/>
        </w:rPr>
        <w:t>规划</w:t>
      </w:r>
    </w:p>
    <w:p>
      <w:pPr>
        <w:adjustRightInd w:val="0"/>
        <w:snapToGrid w:val="0"/>
        <w:spacing w:line="560" w:lineRule="exact"/>
        <w:ind w:firstLine="640" w:firstLineChars="200"/>
        <w:rPr>
          <w:rFonts w:eastAsia="仿宋_GB2312"/>
          <w:color w:val="000000"/>
          <w:kern w:val="0"/>
          <w:sz w:val="32"/>
          <w:szCs w:val="32"/>
        </w:rPr>
      </w:pPr>
      <w:bookmarkStart w:id="0" w:name="_Toc3682"/>
      <w:bookmarkStart w:id="1" w:name="_Toc46919123"/>
      <w:bookmarkStart w:id="2" w:name="_Toc448397322"/>
      <w:bookmarkStart w:id="3" w:name="_Toc24365"/>
    </w:p>
    <w:p>
      <w:pPr>
        <w:adjustRightInd w:val="0"/>
        <w:snapToGrid w:val="0"/>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w:t>
      </w:r>
      <w:r>
        <w:rPr>
          <w:rFonts w:eastAsia="仿宋_GB2312"/>
          <w:color w:val="000000"/>
          <w:kern w:val="0"/>
          <w:sz w:val="32"/>
          <w:szCs w:val="32"/>
        </w:rPr>
        <w:t>十四五</w:t>
      </w:r>
      <w:r>
        <w:rPr>
          <w:rFonts w:hint="eastAsia" w:eastAsia="仿宋_GB2312"/>
          <w:color w:val="000000"/>
          <w:kern w:val="0"/>
          <w:sz w:val="32"/>
          <w:szCs w:val="32"/>
        </w:rPr>
        <w:t>”</w:t>
      </w:r>
      <w:r>
        <w:rPr>
          <w:rFonts w:eastAsia="仿宋_GB2312"/>
          <w:color w:val="000000"/>
          <w:kern w:val="0"/>
          <w:sz w:val="32"/>
          <w:szCs w:val="32"/>
        </w:rPr>
        <w:t>时期是我国由全面建成小康社会向基本实现社会主义现代化迈进的关键时期，是天津奋力开启全面建设社会主义现代化大都市新征程的第一个五年，也是红桥区在全面建成高质量小康社会基础上，开启全面建设社会主义现代化大都市中心城区新征程的第一个五年。为贯彻落实党中央、国务院、天津市关于加强应急管理工作的决策部署，根据《中华人民共和国安全生产法》《中华人民共和国突发事件应对法》《中共天津市委关于制定天津市国民经济和社会发展第十四个五年规划和二</w:t>
      </w:r>
      <w:r>
        <w:rPr>
          <w:rFonts w:eastAsia="微软雅黑"/>
          <w:color w:val="000000"/>
          <w:kern w:val="0"/>
          <w:sz w:val="32"/>
          <w:szCs w:val="32"/>
        </w:rPr>
        <w:t>〇</w:t>
      </w:r>
      <w:r>
        <w:rPr>
          <w:rFonts w:eastAsia="仿宋_GB2312"/>
          <w:color w:val="000000"/>
          <w:kern w:val="0"/>
          <w:sz w:val="32"/>
          <w:szCs w:val="32"/>
        </w:rPr>
        <w:t>三五年远景目标的建议》</w:t>
      </w:r>
      <w:r>
        <w:rPr>
          <w:rFonts w:eastAsia="仿宋_GB2312"/>
          <w:color w:val="000000"/>
          <w:sz w:val="32"/>
          <w:szCs w:val="32"/>
        </w:rPr>
        <w:t>《天津市国民经济和社会发展第十四个五年规划和二〇三五年远景目标纲要》</w:t>
      </w:r>
      <w:r>
        <w:rPr>
          <w:rFonts w:eastAsia="仿宋_GB2312"/>
          <w:color w:val="000000"/>
          <w:kern w:val="0"/>
          <w:sz w:val="32"/>
          <w:szCs w:val="32"/>
        </w:rPr>
        <w:t>《天津市应急管理</w:t>
      </w:r>
      <w:r>
        <w:rPr>
          <w:rFonts w:hint="eastAsia" w:eastAsia="仿宋_GB2312"/>
          <w:color w:val="000000"/>
          <w:kern w:val="0"/>
          <w:sz w:val="32"/>
          <w:szCs w:val="32"/>
        </w:rPr>
        <w:t>“</w:t>
      </w:r>
      <w:r>
        <w:rPr>
          <w:rFonts w:eastAsia="仿宋_GB2312"/>
          <w:color w:val="000000"/>
          <w:kern w:val="0"/>
          <w:sz w:val="32"/>
          <w:szCs w:val="32"/>
        </w:rPr>
        <w:t>十四五</w:t>
      </w:r>
      <w:r>
        <w:rPr>
          <w:rFonts w:hint="eastAsia" w:eastAsia="仿宋_GB2312"/>
          <w:color w:val="000000"/>
          <w:kern w:val="0"/>
          <w:sz w:val="32"/>
          <w:szCs w:val="32"/>
        </w:rPr>
        <w:t>”</w:t>
      </w:r>
      <w:r>
        <w:rPr>
          <w:rFonts w:eastAsia="仿宋_GB2312"/>
          <w:color w:val="000000"/>
          <w:kern w:val="0"/>
          <w:sz w:val="32"/>
          <w:szCs w:val="32"/>
        </w:rPr>
        <w:t>规划》《天津市红桥区国民经济和社会发展第十四个五年规划</w:t>
      </w:r>
      <w:r>
        <w:rPr>
          <w:rFonts w:eastAsia="仿宋_GB2312"/>
          <w:color w:val="000000"/>
          <w:sz w:val="32"/>
          <w:szCs w:val="32"/>
        </w:rPr>
        <w:t>和二〇三五年远景目标</w:t>
      </w:r>
      <w:r>
        <w:rPr>
          <w:rFonts w:eastAsia="仿宋_GB2312"/>
          <w:color w:val="000000"/>
          <w:kern w:val="0"/>
          <w:sz w:val="32"/>
          <w:szCs w:val="32"/>
        </w:rPr>
        <w:t>纲要》等法律法规和文件精神，结合红桥区应急管理实际，制定本规划。</w:t>
      </w:r>
    </w:p>
    <w:p>
      <w:pPr>
        <w:pStyle w:val="2"/>
        <w:keepNext w:val="0"/>
        <w:keepLines w:val="0"/>
        <w:adjustRightInd w:val="0"/>
        <w:snapToGrid w:val="0"/>
        <w:spacing w:before="0" w:after="0" w:line="560" w:lineRule="exact"/>
        <w:ind w:firstLine="640" w:firstLineChars="200"/>
        <w:rPr>
          <w:rFonts w:ascii="Times New Roman" w:hAnsi="Times New Roman" w:eastAsia="黑体"/>
          <w:b w:val="0"/>
          <w:bCs w:val="0"/>
          <w:color w:val="000000"/>
          <w:sz w:val="32"/>
          <w:szCs w:val="32"/>
        </w:rPr>
      </w:pPr>
      <w:r>
        <w:rPr>
          <w:rFonts w:ascii="Times New Roman" w:hAnsi="Times New Roman" w:eastAsia="黑体"/>
          <w:b w:val="0"/>
          <w:bCs w:val="0"/>
          <w:color w:val="000000"/>
          <w:sz w:val="32"/>
          <w:szCs w:val="32"/>
        </w:rPr>
        <w:t>一、</w:t>
      </w:r>
      <w:bookmarkEnd w:id="0"/>
      <w:bookmarkEnd w:id="1"/>
      <w:bookmarkEnd w:id="2"/>
      <w:bookmarkEnd w:id="3"/>
      <w:r>
        <w:rPr>
          <w:rFonts w:ascii="Times New Roman" w:hAnsi="Times New Roman" w:eastAsia="黑体"/>
          <w:b w:val="0"/>
          <w:bCs w:val="0"/>
          <w:color w:val="000000"/>
          <w:sz w:val="32"/>
          <w:szCs w:val="32"/>
        </w:rPr>
        <w:t>发展基础与面临形势</w:t>
      </w:r>
    </w:p>
    <w:p>
      <w:pPr>
        <w:pStyle w:val="3"/>
        <w:keepNext w:val="0"/>
        <w:keepLines w:val="0"/>
        <w:adjustRightInd w:val="0"/>
        <w:snapToGrid w:val="0"/>
        <w:spacing w:before="0" w:after="0" w:line="560" w:lineRule="exact"/>
        <w:ind w:firstLine="640" w:firstLineChars="200"/>
        <w:rPr>
          <w:rFonts w:ascii="Times New Roman" w:hAnsi="Times New Roman" w:eastAsia="楷体_GB2312"/>
          <w:b w:val="0"/>
          <w:color w:val="000000"/>
          <w:kern w:val="0"/>
        </w:rPr>
      </w:pPr>
      <w:bookmarkStart w:id="4" w:name="_Toc46919124"/>
      <w:r>
        <w:rPr>
          <w:rFonts w:ascii="Times New Roman" w:hAnsi="Times New Roman" w:eastAsia="楷体_GB2312"/>
          <w:b w:val="0"/>
          <w:color w:val="000000"/>
          <w:kern w:val="0"/>
        </w:rPr>
        <w:t>（一）成效</w:t>
      </w:r>
      <w:bookmarkEnd w:id="4"/>
      <w:r>
        <w:rPr>
          <w:rFonts w:ascii="Times New Roman" w:hAnsi="Times New Roman" w:eastAsia="楷体_GB2312"/>
          <w:b w:val="0"/>
          <w:color w:val="000000"/>
          <w:kern w:val="0"/>
        </w:rPr>
        <w:t>与进展</w:t>
      </w:r>
    </w:p>
    <w:p>
      <w:pPr>
        <w:adjustRightInd w:val="0"/>
        <w:snapToGrid w:val="0"/>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w:t>
      </w:r>
      <w:r>
        <w:rPr>
          <w:rFonts w:eastAsia="仿宋_GB2312"/>
          <w:color w:val="000000"/>
          <w:kern w:val="0"/>
          <w:sz w:val="32"/>
          <w:szCs w:val="32"/>
        </w:rPr>
        <w:t>十</w:t>
      </w:r>
      <w:r>
        <w:rPr>
          <w:rFonts w:hint="eastAsia" w:eastAsia="仿宋_GB2312"/>
          <w:color w:val="000000"/>
          <w:kern w:val="0"/>
          <w:sz w:val="32"/>
          <w:szCs w:val="32"/>
        </w:rPr>
        <w:t>三</w:t>
      </w:r>
      <w:r>
        <w:rPr>
          <w:rFonts w:eastAsia="仿宋_GB2312"/>
          <w:color w:val="000000"/>
          <w:kern w:val="0"/>
          <w:sz w:val="32"/>
          <w:szCs w:val="32"/>
        </w:rPr>
        <w:t>五</w:t>
      </w:r>
      <w:r>
        <w:rPr>
          <w:rFonts w:hint="eastAsia" w:eastAsia="仿宋_GB2312"/>
          <w:color w:val="000000"/>
          <w:kern w:val="0"/>
          <w:sz w:val="32"/>
          <w:szCs w:val="32"/>
        </w:rPr>
        <w:t>”</w:t>
      </w:r>
      <w:r>
        <w:rPr>
          <w:rFonts w:eastAsia="仿宋_GB2312"/>
          <w:color w:val="000000"/>
          <w:kern w:val="0"/>
          <w:sz w:val="32"/>
          <w:szCs w:val="32"/>
        </w:rPr>
        <w:t>期间，全区应急管理工作在区委、区政府的正确领导下，</w:t>
      </w:r>
      <w:r>
        <w:rPr>
          <w:rFonts w:eastAsia="仿宋_GB2312"/>
          <w:color w:val="000000"/>
          <w:sz w:val="32"/>
          <w:szCs w:val="32"/>
        </w:rPr>
        <w:t>认真贯彻落实习近平总书记关于防范化解重大风险重要论述以及对应急管理、安全生产、防灾减灾救灾等工作的一系列重要指示</w:t>
      </w:r>
      <w:r>
        <w:rPr>
          <w:rFonts w:hint="eastAsia" w:eastAsia="仿宋_GB2312"/>
          <w:color w:val="000000"/>
          <w:sz w:val="32"/>
          <w:szCs w:val="32"/>
        </w:rPr>
        <w:t>批示</w:t>
      </w:r>
      <w:r>
        <w:rPr>
          <w:rFonts w:eastAsia="仿宋_GB2312"/>
          <w:color w:val="000000"/>
          <w:sz w:val="32"/>
          <w:szCs w:val="32"/>
        </w:rPr>
        <w:t>精神，坚持以人民为中心，牢固树立安全发展理念，坚守</w:t>
      </w:r>
      <w:r>
        <w:rPr>
          <w:rFonts w:hint="eastAsia" w:eastAsia="仿宋_GB2312"/>
          <w:color w:val="000000"/>
          <w:kern w:val="0"/>
          <w:sz w:val="32"/>
          <w:szCs w:val="32"/>
        </w:rPr>
        <w:t>“</w:t>
      </w:r>
      <w:r>
        <w:rPr>
          <w:rFonts w:eastAsia="仿宋_GB2312"/>
          <w:color w:val="000000"/>
          <w:sz w:val="32"/>
          <w:szCs w:val="32"/>
        </w:rPr>
        <w:t>发展决不能以牺牲安全为代价</w:t>
      </w:r>
      <w:r>
        <w:rPr>
          <w:rFonts w:hint="eastAsia" w:eastAsia="仿宋_GB2312"/>
          <w:color w:val="000000"/>
          <w:sz w:val="32"/>
          <w:szCs w:val="32"/>
        </w:rPr>
        <w:t>”</w:t>
      </w:r>
      <w:r>
        <w:rPr>
          <w:rFonts w:eastAsia="仿宋_GB2312"/>
          <w:color w:val="000000"/>
          <w:sz w:val="32"/>
          <w:szCs w:val="32"/>
        </w:rPr>
        <w:t>这条不可逾越的红线，深化应急管理机构改革，健全安全生产责任体系，</w:t>
      </w:r>
      <w:r>
        <w:rPr>
          <w:rFonts w:eastAsia="仿宋_GB2312"/>
          <w:color w:val="000000"/>
          <w:kern w:val="0"/>
          <w:sz w:val="32"/>
          <w:szCs w:val="32"/>
        </w:rPr>
        <w:t>全区未发生较大以上生产安全事故，实现了全区安全生产形势趋稳向好，防灾减灾</w:t>
      </w:r>
      <w:r>
        <w:rPr>
          <w:rFonts w:hint="eastAsia" w:eastAsia="仿宋_GB2312"/>
          <w:color w:val="000000"/>
          <w:kern w:val="0"/>
          <w:sz w:val="32"/>
          <w:szCs w:val="32"/>
        </w:rPr>
        <w:t>、</w:t>
      </w:r>
      <w:r>
        <w:rPr>
          <w:rFonts w:eastAsia="仿宋_GB2312"/>
          <w:color w:val="000000"/>
          <w:kern w:val="0"/>
          <w:sz w:val="32"/>
          <w:szCs w:val="32"/>
        </w:rPr>
        <w:t>应急救援保障能力不断提升。</w:t>
      </w:r>
    </w:p>
    <w:p>
      <w:pPr>
        <w:pStyle w:val="20"/>
        <w:keepNext w:val="0"/>
        <w:keepLines w:val="0"/>
        <w:adjustRightInd w:val="0"/>
        <w:snapToGrid w:val="0"/>
        <w:ind w:firstLine="640"/>
        <w:rPr>
          <w:rFonts w:ascii="Times New Roman" w:hAnsi="Times New Roman" w:eastAsia="仿宋_GB2312" w:cs="Times New Roman"/>
          <w:color w:val="000000"/>
        </w:rPr>
      </w:pPr>
      <w:r>
        <w:rPr>
          <w:rFonts w:ascii="Times New Roman" w:hAnsi="Times New Roman" w:eastAsia="仿宋_GB2312" w:cs="Times New Roman"/>
          <w:color w:val="000000"/>
        </w:rPr>
        <w:t>1.应急管理工作有序开展，应急体系建设初见成效</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一是应急预案体系基本健全。基本实现了全区总体预案、专项预案、部门预案类别健全，区级预案、街道预案层级分明，</w:t>
      </w:r>
      <w:r>
        <w:rPr>
          <w:rFonts w:hint="eastAsia" w:eastAsia="仿宋_GB2312"/>
          <w:color w:val="000000"/>
          <w:kern w:val="0"/>
          <w:sz w:val="32"/>
          <w:szCs w:val="32"/>
        </w:rPr>
        <w:t>“</w:t>
      </w:r>
      <w:r>
        <w:rPr>
          <w:rFonts w:eastAsia="仿宋_GB2312"/>
          <w:color w:val="000000"/>
          <w:sz w:val="32"/>
          <w:szCs w:val="32"/>
        </w:rPr>
        <w:t>横向到边、纵向到底</w:t>
      </w:r>
      <w:r>
        <w:rPr>
          <w:rFonts w:hint="eastAsia" w:eastAsia="仿宋_GB2312"/>
          <w:color w:val="000000"/>
          <w:sz w:val="32"/>
          <w:szCs w:val="32"/>
        </w:rPr>
        <w:t>”</w:t>
      </w:r>
      <w:r>
        <w:rPr>
          <w:rFonts w:eastAsia="仿宋_GB2312"/>
          <w:color w:val="000000"/>
          <w:sz w:val="32"/>
          <w:szCs w:val="32"/>
        </w:rPr>
        <w:t>的预案体系基本形成。《天津市红桥区突发事件总体应急预案》修订完成。《天津市红桥区生产安全事故综合应急预案》《天津市红桥区危险化学品事故应急预案》《天津市红桥区防汛应急预案》《天津市红桥区自然灾害救助应急预案》《天津市红桥区地震应急预案》五个专项应急预案进入征求意见阶段，其余部门专项应急预案正在逐步修订中。二是应急救援队伍建设</w:t>
      </w:r>
      <w:r>
        <w:rPr>
          <w:rFonts w:hint="eastAsia" w:eastAsia="仿宋_GB2312"/>
          <w:color w:val="000000"/>
          <w:sz w:val="32"/>
          <w:szCs w:val="32"/>
        </w:rPr>
        <w:t>初具规模</w:t>
      </w:r>
      <w:r>
        <w:rPr>
          <w:rFonts w:eastAsia="仿宋_GB2312"/>
          <w:color w:val="000000"/>
          <w:sz w:val="32"/>
          <w:szCs w:val="32"/>
        </w:rPr>
        <w:t>。区消防救援支队</w:t>
      </w:r>
      <w:r>
        <w:rPr>
          <w:rFonts w:hint="eastAsia" w:eastAsia="仿宋_GB2312"/>
          <w:color w:val="000000"/>
          <w:sz w:val="32"/>
          <w:szCs w:val="32"/>
        </w:rPr>
        <w:t>编制</w:t>
      </w:r>
      <w:r>
        <w:rPr>
          <w:rFonts w:eastAsia="仿宋_GB2312"/>
          <w:color w:val="000000"/>
          <w:sz w:val="32"/>
          <w:szCs w:val="32"/>
        </w:rPr>
        <w:t>186人的救援队伍，分布于南运河路消防救援站、西站消防救援站、丁字沽消防救援站、本溪路消防救援站</w:t>
      </w:r>
      <w:r>
        <w:rPr>
          <w:rFonts w:hint="eastAsia" w:eastAsia="仿宋_GB2312"/>
          <w:color w:val="000000"/>
          <w:sz w:val="32"/>
          <w:szCs w:val="32"/>
        </w:rPr>
        <w:t>。</w:t>
      </w:r>
      <w:r>
        <w:rPr>
          <w:rFonts w:eastAsia="仿宋_GB2312"/>
          <w:color w:val="000000"/>
          <w:sz w:val="32"/>
          <w:szCs w:val="32"/>
        </w:rPr>
        <w:t>区卫生健康委建有5支兼职应急救援队伍，</w:t>
      </w:r>
      <w:r>
        <w:rPr>
          <w:rFonts w:hint="eastAsia" w:eastAsia="仿宋_GB2312"/>
          <w:color w:val="000000"/>
          <w:sz w:val="32"/>
          <w:szCs w:val="32"/>
        </w:rPr>
        <w:t>涉及包括</w:t>
      </w:r>
      <w:r>
        <w:rPr>
          <w:rFonts w:eastAsia="仿宋_GB2312"/>
          <w:color w:val="000000"/>
          <w:sz w:val="32"/>
          <w:szCs w:val="32"/>
        </w:rPr>
        <w:t>卫生应急管理、核与辐射、医疗救援、职业卫生中毒、传染病</w:t>
      </w:r>
      <w:r>
        <w:rPr>
          <w:rFonts w:hint="eastAsia" w:eastAsia="仿宋_GB2312"/>
          <w:color w:val="000000"/>
          <w:sz w:val="32"/>
          <w:szCs w:val="32"/>
        </w:rPr>
        <w:t>等</w:t>
      </w:r>
      <w:r>
        <w:rPr>
          <w:rFonts w:eastAsia="仿宋_GB2312"/>
          <w:color w:val="000000"/>
          <w:sz w:val="32"/>
          <w:szCs w:val="32"/>
        </w:rPr>
        <w:t>专业领域。区城市管理委建立163人兼职应急救援队伍。区政府人防办建立了9支兼职人防应急救援专业队伍，共计440人。区应急局在消防综合性应急救援队伍的基础上，指导组建了红桥区第一支民间</w:t>
      </w:r>
      <w:r>
        <w:rPr>
          <w:rFonts w:hint="eastAsia" w:eastAsia="仿宋_GB2312"/>
          <w:color w:val="000000"/>
          <w:sz w:val="32"/>
          <w:szCs w:val="32"/>
        </w:rPr>
        <w:t>公益性</w:t>
      </w:r>
      <w:r>
        <w:rPr>
          <w:rFonts w:eastAsia="仿宋_GB2312"/>
          <w:color w:val="000000"/>
          <w:sz w:val="32"/>
          <w:szCs w:val="32"/>
        </w:rPr>
        <w:t>、综合性的应急志愿救援队（蓝星应急救援队）。三是应急演练逐步趋于常态化。各行业管理部门组织形式多样的应急演练，有效增强预防突发事件的综合</w:t>
      </w:r>
      <w:r>
        <w:rPr>
          <w:rFonts w:hint="eastAsia" w:eastAsia="仿宋_GB2312"/>
          <w:color w:val="000000"/>
          <w:sz w:val="32"/>
          <w:szCs w:val="32"/>
        </w:rPr>
        <w:t>应对</w:t>
      </w:r>
      <w:r>
        <w:rPr>
          <w:rFonts w:eastAsia="仿宋_GB2312"/>
          <w:color w:val="000000"/>
          <w:sz w:val="32"/>
          <w:szCs w:val="32"/>
        </w:rPr>
        <w:t>能力，提高了处置突发事件的实战水平。</w:t>
      </w:r>
      <w:r>
        <w:rPr>
          <w:rFonts w:hint="eastAsia" w:eastAsia="仿宋_GB2312"/>
          <w:color w:val="000000"/>
          <w:sz w:val="32"/>
          <w:szCs w:val="32"/>
        </w:rPr>
        <w:t>全区共</w:t>
      </w:r>
      <w:r>
        <w:rPr>
          <w:rFonts w:eastAsia="仿宋_GB2312"/>
          <w:color w:val="000000"/>
          <w:sz w:val="32"/>
          <w:szCs w:val="32"/>
        </w:rPr>
        <w:t>组织相关单位包括区住房建设委（原区建委）、区消防救援支队、区应急局（原区政府应急办）、三条石派出所、芥园派出所、津酒集团、中法芥园水务有限公司、中海油天津</w:t>
      </w:r>
      <w:r>
        <w:rPr>
          <w:rFonts w:hint="eastAsia" w:eastAsia="仿宋_GB2312"/>
          <w:color w:val="000000"/>
          <w:sz w:val="32"/>
          <w:szCs w:val="32"/>
        </w:rPr>
        <w:t>设计</w:t>
      </w:r>
      <w:r>
        <w:rPr>
          <w:rFonts w:eastAsia="仿宋_GB2312"/>
          <w:color w:val="000000"/>
          <w:sz w:val="32"/>
          <w:szCs w:val="32"/>
        </w:rPr>
        <w:t>院、七0七研究所等开展大型应急演练活动5次，参与演练人员共700余人。区消防救援支队针对火灾总体应急预案，组织开展了消防熟悉演练3400余次，开展实战演习60余次。</w:t>
      </w:r>
      <w:r>
        <w:rPr>
          <w:rFonts w:hint="eastAsia" w:eastAsia="仿宋_GB2312"/>
          <w:color w:val="000000"/>
          <w:sz w:val="32"/>
          <w:szCs w:val="32"/>
        </w:rPr>
        <w:t>全区</w:t>
      </w:r>
      <w:r>
        <w:rPr>
          <w:rFonts w:eastAsia="仿宋_GB2312"/>
          <w:color w:val="000000"/>
          <w:sz w:val="32"/>
          <w:szCs w:val="32"/>
        </w:rPr>
        <w:t>紧紧围绕</w:t>
      </w:r>
      <w:r>
        <w:rPr>
          <w:rFonts w:hint="eastAsia" w:eastAsia="仿宋_GB2312"/>
          <w:color w:val="000000"/>
          <w:kern w:val="0"/>
          <w:sz w:val="32"/>
          <w:szCs w:val="32"/>
        </w:rPr>
        <w:t>“</w:t>
      </w:r>
      <w:r>
        <w:rPr>
          <w:rFonts w:eastAsia="仿宋_GB2312"/>
          <w:color w:val="000000"/>
          <w:sz w:val="32"/>
          <w:szCs w:val="32"/>
        </w:rPr>
        <w:t>防风险、除隐患、遏事故</w:t>
      </w:r>
      <w:r>
        <w:rPr>
          <w:rFonts w:hint="eastAsia" w:eastAsia="仿宋_GB2312"/>
          <w:color w:val="000000"/>
          <w:kern w:val="0"/>
          <w:sz w:val="32"/>
          <w:szCs w:val="32"/>
        </w:rPr>
        <w:t>”</w:t>
      </w:r>
      <w:r>
        <w:rPr>
          <w:rFonts w:eastAsia="仿宋_GB2312"/>
          <w:color w:val="000000"/>
          <w:sz w:val="32"/>
          <w:szCs w:val="32"/>
        </w:rPr>
        <w:t>主题，组织开展了多部门联合应急演练，累计开展防汛专题和综合防汛应急演练4次，累计参演220余人次。</w:t>
      </w:r>
    </w:p>
    <w:p>
      <w:pPr>
        <w:pStyle w:val="20"/>
        <w:keepNext w:val="0"/>
        <w:keepLines w:val="0"/>
        <w:adjustRightInd w:val="0"/>
        <w:snapToGrid w:val="0"/>
        <w:ind w:firstLine="640"/>
        <w:rPr>
          <w:rFonts w:ascii="Times New Roman" w:hAnsi="Times New Roman" w:eastAsia="仿宋_GB2312" w:cs="Times New Roman"/>
          <w:color w:val="000000"/>
        </w:rPr>
      </w:pPr>
      <w:r>
        <w:rPr>
          <w:rFonts w:ascii="Times New Roman" w:hAnsi="Times New Roman" w:eastAsia="仿宋_GB2312" w:cs="Times New Roman"/>
          <w:color w:val="000000"/>
        </w:rPr>
        <w:t>2.安全生产工作稳步推进，安全风险防控效果显著</w:t>
      </w:r>
    </w:p>
    <w:p>
      <w:pPr>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一是安全生产责任制逐步落实。全区重点行业管理部门制定了《安全生产责任制》，与监管企业签订了安全生产责任书。政府属地管理责任、部门监管责任、企业主体责任和从业人员岗位责任基本得到落实。二是安全生产隐患排查治理工作成效</w:t>
      </w:r>
      <w:r>
        <w:rPr>
          <w:rFonts w:hint="eastAsia" w:eastAsia="仿宋_GB2312"/>
          <w:color w:val="000000"/>
          <w:kern w:val="0"/>
          <w:sz w:val="32"/>
          <w:szCs w:val="32"/>
        </w:rPr>
        <w:t>明显</w:t>
      </w:r>
      <w:r>
        <w:rPr>
          <w:rFonts w:eastAsia="仿宋_GB2312"/>
          <w:color w:val="000000"/>
          <w:kern w:val="0"/>
          <w:sz w:val="32"/>
          <w:szCs w:val="32"/>
        </w:rPr>
        <w:t>。形成了以行业管理部门、应急管理部门、街道基层管理部门</w:t>
      </w:r>
      <w:r>
        <w:rPr>
          <w:rFonts w:hint="eastAsia" w:eastAsia="仿宋_GB2312"/>
          <w:color w:val="000000"/>
          <w:kern w:val="0"/>
          <w:sz w:val="32"/>
          <w:szCs w:val="32"/>
        </w:rPr>
        <w:t>“</w:t>
      </w:r>
      <w:r>
        <w:rPr>
          <w:rFonts w:eastAsia="仿宋_GB2312"/>
          <w:color w:val="000000"/>
          <w:kern w:val="0"/>
          <w:sz w:val="32"/>
          <w:szCs w:val="32"/>
        </w:rPr>
        <w:t>横向到边、纵向到底</w:t>
      </w:r>
      <w:r>
        <w:rPr>
          <w:rFonts w:hint="eastAsia" w:eastAsia="仿宋_GB2312"/>
          <w:color w:val="000000"/>
          <w:kern w:val="0"/>
          <w:sz w:val="32"/>
          <w:szCs w:val="32"/>
        </w:rPr>
        <w:t>”</w:t>
      </w:r>
      <w:r>
        <w:rPr>
          <w:rFonts w:eastAsia="仿宋_GB2312"/>
          <w:color w:val="000000"/>
          <w:kern w:val="0"/>
          <w:sz w:val="32"/>
          <w:szCs w:val="32"/>
        </w:rPr>
        <w:t>的安全生产隐患排查治理模式。区安委会办公室制定了区级领导分片包干工作方案，区委</w:t>
      </w:r>
      <w:r>
        <w:rPr>
          <w:rFonts w:hint="eastAsia" w:eastAsia="仿宋_GB2312"/>
          <w:color w:val="000000"/>
          <w:kern w:val="0"/>
          <w:sz w:val="32"/>
          <w:szCs w:val="32"/>
        </w:rPr>
        <w:t>、区政府领导</w:t>
      </w:r>
      <w:r>
        <w:rPr>
          <w:rFonts w:eastAsia="仿宋_GB2312"/>
          <w:color w:val="000000"/>
          <w:kern w:val="0"/>
          <w:sz w:val="32"/>
          <w:szCs w:val="32"/>
        </w:rPr>
        <w:t>同志结合</w:t>
      </w:r>
      <w:r>
        <w:rPr>
          <w:rFonts w:hint="eastAsia" w:eastAsia="仿宋_GB2312"/>
          <w:color w:val="000000"/>
          <w:kern w:val="0"/>
          <w:sz w:val="32"/>
          <w:szCs w:val="32"/>
        </w:rPr>
        <w:t>“</w:t>
      </w:r>
      <w:r>
        <w:rPr>
          <w:rFonts w:eastAsia="仿宋_GB2312"/>
          <w:color w:val="000000"/>
          <w:kern w:val="0"/>
          <w:sz w:val="32"/>
          <w:szCs w:val="32"/>
        </w:rPr>
        <w:t>隐患就是事故、事故就要处理</w:t>
      </w:r>
      <w:r>
        <w:rPr>
          <w:rFonts w:hint="eastAsia" w:eastAsia="仿宋_GB2312"/>
          <w:color w:val="000000"/>
          <w:kern w:val="0"/>
          <w:sz w:val="32"/>
          <w:szCs w:val="32"/>
        </w:rPr>
        <w:t>”</w:t>
      </w:r>
      <w:r>
        <w:rPr>
          <w:rFonts w:eastAsia="仿宋_GB2312"/>
          <w:color w:val="000000"/>
          <w:kern w:val="0"/>
          <w:sz w:val="32"/>
          <w:szCs w:val="32"/>
        </w:rPr>
        <w:t>专题教育活动，先后深入基层开展习近平总书记关于安全生产重要论述和企业主体责任专题宣讲，开展重点行业安全生产暗查暗访工作，及时督促事故隐患整改，确保隐患及时清零。区</w:t>
      </w:r>
      <w:r>
        <w:rPr>
          <w:rFonts w:hint="eastAsia" w:eastAsia="仿宋_GB2312"/>
          <w:color w:val="000000"/>
          <w:kern w:val="0"/>
          <w:sz w:val="32"/>
          <w:szCs w:val="32"/>
        </w:rPr>
        <w:t>“</w:t>
      </w:r>
      <w:r>
        <w:rPr>
          <w:rFonts w:eastAsia="仿宋_GB2312"/>
          <w:color w:val="000000"/>
          <w:kern w:val="0"/>
          <w:sz w:val="32"/>
          <w:szCs w:val="32"/>
        </w:rPr>
        <w:t>安防网</w:t>
      </w:r>
      <w:r>
        <w:rPr>
          <w:rFonts w:hint="eastAsia" w:eastAsia="仿宋_GB2312"/>
          <w:color w:val="000000"/>
          <w:kern w:val="0"/>
          <w:sz w:val="32"/>
          <w:szCs w:val="32"/>
        </w:rPr>
        <w:t>”</w:t>
      </w:r>
      <w:r>
        <w:rPr>
          <w:rFonts w:eastAsia="仿宋_GB2312"/>
          <w:color w:val="000000"/>
          <w:kern w:val="0"/>
          <w:sz w:val="32"/>
          <w:szCs w:val="32"/>
        </w:rPr>
        <w:t>平台软件与硬件配套设施已部署完毕，实现了市、区、重点监管单位的实时联通，通过</w:t>
      </w:r>
      <w:r>
        <w:rPr>
          <w:rFonts w:hint="eastAsia" w:eastAsia="仿宋_GB2312"/>
          <w:color w:val="000000"/>
          <w:kern w:val="0"/>
          <w:sz w:val="32"/>
          <w:szCs w:val="32"/>
        </w:rPr>
        <w:t>“</w:t>
      </w:r>
      <w:r>
        <w:rPr>
          <w:rFonts w:eastAsia="仿宋_GB2312"/>
          <w:color w:val="000000"/>
          <w:kern w:val="0"/>
          <w:sz w:val="32"/>
          <w:szCs w:val="32"/>
        </w:rPr>
        <w:t>安防网</w:t>
      </w:r>
      <w:r>
        <w:rPr>
          <w:rFonts w:hint="eastAsia" w:eastAsia="仿宋_GB2312"/>
          <w:color w:val="000000"/>
          <w:kern w:val="0"/>
          <w:sz w:val="32"/>
          <w:szCs w:val="32"/>
        </w:rPr>
        <w:t>”</w:t>
      </w:r>
      <w:r>
        <w:rPr>
          <w:rFonts w:eastAsia="仿宋_GB2312"/>
          <w:color w:val="000000"/>
          <w:kern w:val="0"/>
          <w:sz w:val="32"/>
          <w:szCs w:val="32"/>
        </w:rPr>
        <w:t>对区内11家重点危险化学品企业24小时实时在线监控，实现了</w:t>
      </w:r>
      <w:r>
        <w:rPr>
          <w:rFonts w:hint="eastAsia" w:eastAsia="仿宋_GB2312"/>
          <w:color w:val="000000"/>
          <w:kern w:val="0"/>
          <w:sz w:val="32"/>
          <w:szCs w:val="32"/>
        </w:rPr>
        <w:t>“</w:t>
      </w:r>
      <w:r>
        <w:rPr>
          <w:rFonts w:eastAsia="仿宋_GB2312"/>
          <w:color w:val="000000"/>
          <w:kern w:val="0"/>
          <w:sz w:val="32"/>
          <w:szCs w:val="32"/>
        </w:rPr>
        <w:t>全域覆盖、全网共享、全时可用、全程可控</w:t>
      </w:r>
      <w:r>
        <w:rPr>
          <w:rFonts w:hint="eastAsia" w:eastAsia="仿宋_GB2312"/>
          <w:color w:val="000000"/>
          <w:kern w:val="0"/>
          <w:sz w:val="32"/>
          <w:szCs w:val="32"/>
        </w:rPr>
        <w:t>”</w:t>
      </w:r>
      <w:r>
        <w:rPr>
          <w:rFonts w:eastAsia="仿宋_GB2312"/>
          <w:color w:val="000000"/>
          <w:kern w:val="0"/>
          <w:sz w:val="32"/>
          <w:szCs w:val="32"/>
        </w:rPr>
        <w:t>的目标。三是推动实施安全生产专项整治行动。根据《天津市安全生产专项整治三年行动计划》部署要求，组织制定《红桥区安全生产专项整治三年行动计划》，明确2个专题和7个专项工作内容，以136工作机制（1个工作专班、3个工作分组、6项工作制度）推动具体工作落实。四是建立联合安全生产执法机制。区应急局、区消防救援支队等行业监管部门及各属地街道建立了多部门联合</w:t>
      </w:r>
      <w:r>
        <w:rPr>
          <w:rFonts w:hint="eastAsia" w:eastAsia="仿宋_GB2312"/>
          <w:color w:val="000000"/>
          <w:kern w:val="0"/>
          <w:sz w:val="32"/>
          <w:szCs w:val="32"/>
        </w:rPr>
        <w:t>检查</w:t>
      </w:r>
      <w:r>
        <w:rPr>
          <w:rFonts w:eastAsia="仿宋_GB2312"/>
          <w:color w:val="000000"/>
          <w:kern w:val="0"/>
          <w:sz w:val="32"/>
          <w:szCs w:val="32"/>
        </w:rPr>
        <w:t>制度，对于发现的问题协同多部门联合解决</w:t>
      </w:r>
      <w:r>
        <w:rPr>
          <w:rFonts w:hint="eastAsia" w:eastAsia="仿宋_GB2312"/>
          <w:color w:val="000000"/>
          <w:kern w:val="0"/>
          <w:sz w:val="32"/>
          <w:szCs w:val="32"/>
        </w:rPr>
        <w:t>，</w:t>
      </w:r>
      <w:r>
        <w:rPr>
          <w:rFonts w:eastAsia="仿宋_GB2312"/>
          <w:color w:val="000000"/>
          <w:kern w:val="0"/>
          <w:sz w:val="32"/>
          <w:szCs w:val="32"/>
        </w:rPr>
        <w:t>形成部门联动，改变</w:t>
      </w:r>
      <w:r>
        <w:rPr>
          <w:rFonts w:hint="eastAsia" w:eastAsia="仿宋_GB2312"/>
          <w:color w:val="000000"/>
          <w:kern w:val="0"/>
          <w:sz w:val="32"/>
          <w:szCs w:val="32"/>
        </w:rPr>
        <w:t>“</w:t>
      </w:r>
      <w:r>
        <w:rPr>
          <w:rFonts w:eastAsia="仿宋_GB2312"/>
          <w:color w:val="000000"/>
          <w:kern w:val="0"/>
          <w:sz w:val="32"/>
          <w:szCs w:val="32"/>
        </w:rPr>
        <w:t>单一作战</w:t>
      </w:r>
      <w:r>
        <w:rPr>
          <w:rFonts w:hint="eastAsia" w:eastAsia="仿宋_GB2312"/>
          <w:color w:val="000000"/>
          <w:kern w:val="0"/>
          <w:sz w:val="32"/>
          <w:szCs w:val="32"/>
        </w:rPr>
        <w:t>”</w:t>
      </w:r>
      <w:r>
        <w:rPr>
          <w:rFonts w:eastAsia="仿宋_GB2312"/>
          <w:color w:val="000000"/>
          <w:kern w:val="0"/>
          <w:sz w:val="32"/>
          <w:szCs w:val="32"/>
        </w:rPr>
        <w:t>的</w:t>
      </w:r>
      <w:r>
        <w:rPr>
          <w:rFonts w:hint="eastAsia" w:eastAsia="仿宋_GB2312"/>
          <w:color w:val="000000"/>
          <w:kern w:val="0"/>
          <w:sz w:val="32"/>
          <w:szCs w:val="32"/>
        </w:rPr>
        <w:t>旧有模式</w:t>
      </w:r>
      <w:r>
        <w:rPr>
          <w:rFonts w:eastAsia="仿宋_GB2312"/>
          <w:color w:val="000000"/>
          <w:kern w:val="0"/>
          <w:sz w:val="32"/>
          <w:szCs w:val="32"/>
        </w:rPr>
        <w:t>，通过部门沟通</w:t>
      </w:r>
      <w:r>
        <w:rPr>
          <w:rFonts w:hint="eastAsia" w:eastAsia="仿宋_GB2312"/>
          <w:color w:val="000000"/>
          <w:kern w:val="0"/>
          <w:sz w:val="32"/>
          <w:szCs w:val="32"/>
        </w:rPr>
        <w:t>和</w:t>
      </w:r>
      <w:r>
        <w:rPr>
          <w:rFonts w:eastAsia="仿宋_GB2312"/>
          <w:color w:val="000000"/>
          <w:kern w:val="0"/>
          <w:sz w:val="32"/>
          <w:szCs w:val="32"/>
        </w:rPr>
        <w:t>联合</w:t>
      </w:r>
      <w:r>
        <w:rPr>
          <w:rFonts w:hint="eastAsia" w:eastAsia="仿宋_GB2312"/>
          <w:color w:val="000000"/>
          <w:kern w:val="0"/>
          <w:sz w:val="32"/>
          <w:szCs w:val="32"/>
        </w:rPr>
        <w:t>执法，</w:t>
      </w:r>
      <w:r>
        <w:rPr>
          <w:rFonts w:eastAsia="仿宋_GB2312"/>
          <w:color w:val="000000"/>
          <w:kern w:val="0"/>
          <w:sz w:val="32"/>
          <w:szCs w:val="32"/>
        </w:rPr>
        <w:t>帮助企业</w:t>
      </w:r>
      <w:r>
        <w:rPr>
          <w:rFonts w:hint="eastAsia" w:eastAsia="仿宋_GB2312"/>
          <w:color w:val="000000"/>
          <w:kern w:val="0"/>
          <w:sz w:val="32"/>
          <w:szCs w:val="32"/>
        </w:rPr>
        <w:t>单位</w:t>
      </w:r>
      <w:r>
        <w:rPr>
          <w:rFonts w:eastAsia="仿宋_GB2312"/>
          <w:color w:val="000000"/>
          <w:kern w:val="0"/>
          <w:sz w:val="32"/>
          <w:szCs w:val="32"/>
        </w:rPr>
        <w:t>消除隐患问题，实现安全隐患高效快速解决。五是安全教育培训普及力度扩大。借助每年</w:t>
      </w:r>
      <w:r>
        <w:rPr>
          <w:rFonts w:hint="eastAsia" w:eastAsia="仿宋_GB2312"/>
          <w:color w:val="000000"/>
          <w:kern w:val="0"/>
          <w:sz w:val="32"/>
          <w:szCs w:val="32"/>
        </w:rPr>
        <w:t>“</w:t>
      </w:r>
      <w:r>
        <w:rPr>
          <w:rFonts w:eastAsia="仿宋_GB2312"/>
          <w:color w:val="000000"/>
          <w:kern w:val="0"/>
          <w:sz w:val="32"/>
          <w:szCs w:val="32"/>
        </w:rPr>
        <w:t>安全生产月</w:t>
      </w:r>
      <w:r>
        <w:rPr>
          <w:rFonts w:hint="eastAsia" w:eastAsia="仿宋_GB2312"/>
          <w:color w:val="000000"/>
          <w:kern w:val="0"/>
          <w:sz w:val="32"/>
          <w:szCs w:val="32"/>
        </w:rPr>
        <w:t>”“</w:t>
      </w:r>
      <w:r>
        <w:rPr>
          <w:rFonts w:eastAsia="仿宋_GB2312"/>
          <w:color w:val="000000"/>
          <w:kern w:val="0"/>
          <w:sz w:val="32"/>
          <w:szCs w:val="32"/>
        </w:rPr>
        <w:t>消防安全月</w:t>
      </w:r>
      <w:r>
        <w:rPr>
          <w:rFonts w:hint="eastAsia" w:eastAsia="仿宋_GB2312"/>
          <w:color w:val="000000"/>
          <w:kern w:val="0"/>
          <w:sz w:val="32"/>
          <w:szCs w:val="32"/>
        </w:rPr>
        <w:t>”</w:t>
      </w:r>
      <w:r>
        <w:rPr>
          <w:rFonts w:eastAsia="仿宋_GB2312"/>
          <w:color w:val="000000"/>
          <w:kern w:val="0"/>
          <w:sz w:val="32"/>
          <w:szCs w:val="32"/>
        </w:rPr>
        <w:t>等重大</w:t>
      </w:r>
      <w:r>
        <w:rPr>
          <w:rFonts w:hint="eastAsia" w:eastAsia="仿宋_GB2312"/>
          <w:color w:val="000000"/>
          <w:kern w:val="0"/>
          <w:sz w:val="32"/>
          <w:szCs w:val="32"/>
        </w:rPr>
        <w:t>活动</w:t>
      </w:r>
      <w:r>
        <w:rPr>
          <w:rFonts w:eastAsia="仿宋_GB2312"/>
          <w:color w:val="000000"/>
          <w:kern w:val="0"/>
          <w:sz w:val="32"/>
          <w:szCs w:val="32"/>
        </w:rPr>
        <w:t>，以</w:t>
      </w:r>
      <w:r>
        <w:rPr>
          <w:rFonts w:hint="eastAsia" w:eastAsia="仿宋_GB2312"/>
          <w:color w:val="000000"/>
          <w:kern w:val="0"/>
          <w:sz w:val="32"/>
          <w:szCs w:val="32"/>
        </w:rPr>
        <w:t>“</w:t>
      </w:r>
      <w:r>
        <w:rPr>
          <w:rFonts w:eastAsia="仿宋_GB2312"/>
          <w:color w:val="000000"/>
          <w:kern w:val="0"/>
          <w:sz w:val="32"/>
          <w:szCs w:val="32"/>
        </w:rPr>
        <w:t>美丽红桥</w:t>
      </w:r>
      <w:r>
        <w:rPr>
          <w:rFonts w:hint="eastAsia" w:eastAsia="仿宋_GB2312"/>
          <w:color w:val="000000"/>
          <w:kern w:val="0"/>
          <w:sz w:val="32"/>
          <w:szCs w:val="32"/>
        </w:rPr>
        <w:t>”</w:t>
      </w:r>
      <w:r>
        <w:rPr>
          <w:rFonts w:eastAsia="仿宋_GB2312"/>
          <w:color w:val="000000"/>
          <w:kern w:val="0"/>
          <w:sz w:val="32"/>
          <w:szCs w:val="32"/>
        </w:rPr>
        <w:t>抖音官方号、全国网上安全知识竞赛、抖音</w:t>
      </w:r>
      <w:r>
        <w:rPr>
          <w:rFonts w:hint="eastAsia" w:eastAsia="仿宋_GB2312"/>
          <w:color w:val="000000"/>
          <w:kern w:val="0"/>
          <w:sz w:val="32"/>
          <w:szCs w:val="32"/>
        </w:rPr>
        <w:t>“</w:t>
      </w:r>
      <w:r>
        <w:rPr>
          <w:rFonts w:eastAsia="仿宋_GB2312"/>
          <w:color w:val="000000"/>
          <w:kern w:val="0"/>
          <w:sz w:val="32"/>
          <w:szCs w:val="32"/>
        </w:rPr>
        <w:t>我是安全明白人</w:t>
      </w:r>
      <w:r>
        <w:rPr>
          <w:rFonts w:hint="eastAsia" w:eastAsia="仿宋_GB2312"/>
          <w:color w:val="000000"/>
          <w:kern w:val="0"/>
          <w:sz w:val="32"/>
          <w:szCs w:val="32"/>
        </w:rPr>
        <w:t>”</w:t>
      </w:r>
      <w:r>
        <w:rPr>
          <w:rFonts w:eastAsia="仿宋_GB2312"/>
          <w:color w:val="000000"/>
          <w:kern w:val="0"/>
          <w:sz w:val="32"/>
          <w:szCs w:val="32"/>
        </w:rPr>
        <w:t>话题和微博</w:t>
      </w:r>
      <w:r>
        <w:rPr>
          <w:rFonts w:hint="eastAsia" w:eastAsia="仿宋_GB2312"/>
          <w:color w:val="000000"/>
          <w:kern w:val="0"/>
          <w:sz w:val="32"/>
          <w:szCs w:val="32"/>
        </w:rPr>
        <w:t>“</w:t>
      </w:r>
      <w:r>
        <w:rPr>
          <w:rFonts w:eastAsia="仿宋_GB2312"/>
          <w:color w:val="000000"/>
          <w:kern w:val="0"/>
          <w:sz w:val="32"/>
          <w:szCs w:val="32"/>
        </w:rPr>
        <w:t>身边的安全谣言</w:t>
      </w:r>
      <w:r>
        <w:rPr>
          <w:rFonts w:hint="eastAsia" w:eastAsia="仿宋_GB2312"/>
          <w:color w:val="000000"/>
          <w:kern w:val="0"/>
          <w:sz w:val="32"/>
          <w:szCs w:val="32"/>
        </w:rPr>
        <w:t>”</w:t>
      </w:r>
      <w:r>
        <w:rPr>
          <w:rFonts w:eastAsia="仿宋_GB2312"/>
          <w:color w:val="000000"/>
          <w:kern w:val="0"/>
          <w:sz w:val="32"/>
          <w:szCs w:val="32"/>
        </w:rPr>
        <w:t>话题为载体，区安委会办公室、区应急局、区消防救援支队、区政府人防办等部门积极开展形式多样的应急宣传教育培训活动，社会公众自救互救技能不断增强。六是安全监管能力逐步提升。区、街两级安全监管部门建立了专业监管机构，配备了专业监管人员。每个街道办事处配备了1名专职安全员，形成区、街道、社区三级安全监管体系。</w:t>
      </w:r>
      <w:r>
        <w:rPr>
          <w:rFonts w:hint="eastAsia" w:eastAsia="仿宋_GB2312"/>
          <w:color w:val="000000"/>
          <w:kern w:val="0"/>
          <w:sz w:val="32"/>
          <w:szCs w:val="32"/>
        </w:rPr>
        <w:t>丰富</w:t>
      </w:r>
      <w:r>
        <w:rPr>
          <w:rFonts w:eastAsia="仿宋_GB2312"/>
          <w:color w:val="000000"/>
          <w:kern w:val="0"/>
          <w:sz w:val="32"/>
          <w:szCs w:val="32"/>
        </w:rPr>
        <w:t>安全监管手段，充分发挥专业人士的技术优势，注重运用大数据、互联网、物联网</w:t>
      </w:r>
      <w:r>
        <w:rPr>
          <w:rFonts w:hint="eastAsia" w:eastAsia="仿宋_GB2312"/>
          <w:color w:val="000000"/>
          <w:kern w:val="0"/>
          <w:sz w:val="32"/>
          <w:szCs w:val="32"/>
        </w:rPr>
        <w:t>等</w:t>
      </w:r>
      <w:r>
        <w:rPr>
          <w:rFonts w:eastAsia="仿宋_GB2312"/>
          <w:color w:val="000000"/>
          <w:kern w:val="0"/>
          <w:sz w:val="32"/>
          <w:szCs w:val="32"/>
        </w:rPr>
        <w:t>现代科学技术手段，把安全防控与智慧城市建设、智慧街区建设等紧密结合起来，夯实监管网络，实现资源共享。</w:t>
      </w:r>
    </w:p>
    <w:p>
      <w:pPr>
        <w:pStyle w:val="20"/>
        <w:keepNext w:val="0"/>
        <w:keepLines w:val="0"/>
        <w:adjustRightInd w:val="0"/>
        <w:snapToGrid w:val="0"/>
        <w:ind w:firstLine="640"/>
        <w:rPr>
          <w:rFonts w:ascii="Times New Roman" w:hAnsi="Times New Roman" w:eastAsia="仿宋_GB2312" w:cs="Times New Roman"/>
          <w:color w:val="000000"/>
        </w:rPr>
      </w:pPr>
      <w:r>
        <w:rPr>
          <w:rFonts w:ascii="Times New Roman" w:hAnsi="Times New Roman" w:eastAsia="仿宋_GB2312" w:cs="Times New Roman"/>
          <w:color w:val="000000"/>
        </w:rPr>
        <w:t>3.强化自然灾害防治治理，防灾减灾能力不断增强</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一是完成区域易涝点整治。开展了全区易涝点的普查工作，基本完成全区现有易涝点的整治。二是</w:t>
      </w:r>
      <w:r>
        <w:rPr>
          <w:rFonts w:hint="eastAsia" w:eastAsia="仿宋_GB2312"/>
          <w:color w:val="000000"/>
          <w:sz w:val="32"/>
          <w:szCs w:val="32"/>
        </w:rPr>
        <w:t>加强</w:t>
      </w:r>
      <w:r>
        <w:rPr>
          <w:rFonts w:eastAsia="仿宋_GB2312"/>
          <w:color w:val="000000"/>
          <w:sz w:val="32"/>
          <w:szCs w:val="32"/>
        </w:rPr>
        <w:t>应急避难场所建设。在全区建设了西沽公园、红桥公园、滨河公园、西站南广场4个固定应急避难场所，有效避难面积达23</w:t>
      </w:r>
      <w:r>
        <w:rPr>
          <w:rFonts w:hint="eastAsia" w:eastAsia="仿宋_GB2312"/>
          <w:color w:val="000000"/>
          <w:sz w:val="32"/>
          <w:szCs w:val="32"/>
        </w:rPr>
        <w:t>万平方米</w:t>
      </w:r>
      <w:r>
        <w:rPr>
          <w:rFonts w:eastAsia="仿宋_GB2312"/>
          <w:color w:val="000000"/>
          <w:sz w:val="32"/>
          <w:szCs w:val="32"/>
        </w:rPr>
        <w:t>，可满足14万人紧急避难需求。建设了119个紧急避难场所，可满足28万人紧急避难需求。三是</w:t>
      </w:r>
      <w:r>
        <w:rPr>
          <w:rFonts w:hint="eastAsia" w:eastAsia="仿宋_GB2312"/>
          <w:color w:val="000000"/>
          <w:sz w:val="32"/>
          <w:szCs w:val="32"/>
        </w:rPr>
        <w:t>推动</w:t>
      </w:r>
      <w:r>
        <w:rPr>
          <w:rFonts w:eastAsia="仿宋_GB2312"/>
          <w:color w:val="000000"/>
          <w:sz w:val="32"/>
          <w:szCs w:val="32"/>
        </w:rPr>
        <w:t>防灾减灾宣传教育活动进校园。区防震减灾领导小组和区委党校共同组织中青班全体学员到地震办应急指挥中心开展防灾减灾知识专题讲座。区防震减灾领导小组、区红十字会走进红桥</w:t>
      </w:r>
      <w:r>
        <w:rPr>
          <w:rFonts w:hint="eastAsia" w:eastAsia="仿宋_GB2312"/>
          <w:color w:val="000000"/>
          <w:sz w:val="32"/>
          <w:szCs w:val="32"/>
        </w:rPr>
        <w:t>中</w:t>
      </w:r>
      <w:r>
        <w:rPr>
          <w:rFonts w:eastAsia="仿宋_GB2312"/>
          <w:color w:val="000000"/>
          <w:sz w:val="32"/>
          <w:szCs w:val="32"/>
        </w:rPr>
        <w:t>小学，开展了</w:t>
      </w:r>
      <w:r>
        <w:rPr>
          <w:rFonts w:hint="eastAsia" w:eastAsia="仿宋_GB2312"/>
          <w:color w:val="000000"/>
          <w:kern w:val="0"/>
          <w:sz w:val="32"/>
          <w:szCs w:val="32"/>
        </w:rPr>
        <w:t>“</w:t>
      </w:r>
      <w:r>
        <w:rPr>
          <w:rFonts w:eastAsia="仿宋_GB2312"/>
          <w:color w:val="000000"/>
          <w:sz w:val="32"/>
          <w:szCs w:val="32"/>
        </w:rPr>
        <w:t>手拉手共筑平安校园</w:t>
      </w:r>
      <w:r>
        <w:rPr>
          <w:rFonts w:hint="eastAsia" w:eastAsia="仿宋_GB2312"/>
          <w:color w:val="000000"/>
          <w:kern w:val="0"/>
          <w:sz w:val="32"/>
          <w:szCs w:val="32"/>
        </w:rPr>
        <w:t>”</w:t>
      </w:r>
      <w:r>
        <w:rPr>
          <w:rFonts w:eastAsia="仿宋_GB2312"/>
          <w:color w:val="000000"/>
          <w:sz w:val="32"/>
          <w:szCs w:val="32"/>
        </w:rPr>
        <w:t>宣传活动等。四是积极发挥社会应急救援力量引导作用。蓝星应急救援队</w:t>
      </w:r>
      <w:r>
        <w:rPr>
          <w:rFonts w:hint="eastAsia" w:eastAsia="仿宋_GB2312"/>
          <w:color w:val="000000"/>
          <w:sz w:val="32"/>
          <w:szCs w:val="32"/>
        </w:rPr>
        <w:t>积极</w:t>
      </w:r>
      <w:r>
        <w:rPr>
          <w:rFonts w:eastAsia="仿宋_GB2312"/>
          <w:color w:val="000000"/>
          <w:sz w:val="32"/>
          <w:szCs w:val="32"/>
        </w:rPr>
        <w:t>参与</w:t>
      </w:r>
      <w:r>
        <w:rPr>
          <w:rFonts w:hint="eastAsia" w:eastAsia="仿宋_GB2312"/>
          <w:color w:val="000000"/>
          <w:sz w:val="32"/>
          <w:szCs w:val="32"/>
        </w:rPr>
        <w:t>街道社区的</w:t>
      </w:r>
      <w:r>
        <w:rPr>
          <w:rFonts w:eastAsia="仿宋_GB2312"/>
          <w:color w:val="000000"/>
          <w:sz w:val="32"/>
          <w:szCs w:val="32"/>
        </w:rPr>
        <w:t>防灾避险宣讲演习、高层防火逃生避险知识宣讲</w:t>
      </w:r>
      <w:r>
        <w:rPr>
          <w:rFonts w:hint="eastAsia" w:eastAsia="仿宋_GB2312"/>
          <w:color w:val="000000"/>
          <w:sz w:val="32"/>
          <w:szCs w:val="32"/>
        </w:rPr>
        <w:t>、</w:t>
      </w:r>
      <w:r>
        <w:rPr>
          <w:rFonts w:eastAsia="仿宋_GB2312"/>
          <w:color w:val="000000"/>
          <w:sz w:val="32"/>
          <w:szCs w:val="32"/>
        </w:rPr>
        <w:t>冬季防火知识宣讲</w:t>
      </w:r>
      <w:r>
        <w:rPr>
          <w:rFonts w:hint="eastAsia" w:eastAsia="仿宋_GB2312"/>
          <w:color w:val="000000"/>
          <w:sz w:val="32"/>
          <w:szCs w:val="32"/>
        </w:rPr>
        <w:t>、</w:t>
      </w:r>
      <w:r>
        <w:rPr>
          <w:rFonts w:eastAsia="仿宋_GB2312"/>
          <w:color w:val="000000"/>
          <w:sz w:val="32"/>
          <w:szCs w:val="32"/>
        </w:rPr>
        <w:t>物业消防演习、夏季家庭防火安全培训、红十字京津冀三地联合演习、西沽公园安全宣传等活动。</w:t>
      </w:r>
    </w:p>
    <w:p>
      <w:pPr>
        <w:pStyle w:val="3"/>
        <w:keepNext w:val="0"/>
        <w:keepLines w:val="0"/>
        <w:adjustRightInd w:val="0"/>
        <w:snapToGrid w:val="0"/>
        <w:spacing w:before="0" w:after="0" w:line="560" w:lineRule="exact"/>
        <w:ind w:firstLine="640" w:firstLineChars="200"/>
        <w:rPr>
          <w:rFonts w:ascii="Times New Roman" w:hAnsi="Times New Roman" w:eastAsia="楷体_GB2312"/>
          <w:b w:val="0"/>
          <w:color w:val="000000"/>
          <w:kern w:val="0"/>
        </w:rPr>
      </w:pPr>
      <w:bookmarkStart w:id="5" w:name="_Toc46919126"/>
      <w:r>
        <w:rPr>
          <w:rFonts w:ascii="Times New Roman" w:hAnsi="Times New Roman" w:eastAsia="楷体_GB2312"/>
          <w:b w:val="0"/>
          <w:color w:val="000000"/>
          <w:kern w:val="0"/>
        </w:rPr>
        <w:t>（二）</w:t>
      </w:r>
      <w:bookmarkEnd w:id="5"/>
      <w:r>
        <w:rPr>
          <w:rFonts w:ascii="Times New Roman" w:hAnsi="Times New Roman" w:eastAsia="楷体_GB2312"/>
          <w:b w:val="0"/>
          <w:color w:val="000000"/>
          <w:kern w:val="0"/>
        </w:rPr>
        <w:t>机遇与挑战</w:t>
      </w:r>
    </w:p>
    <w:p>
      <w:pPr>
        <w:pStyle w:val="20"/>
        <w:keepNext w:val="0"/>
        <w:keepLines w:val="0"/>
        <w:adjustRightInd w:val="0"/>
        <w:snapToGrid w:val="0"/>
        <w:ind w:firstLine="640"/>
        <w:rPr>
          <w:rFonts w:ascii="Times New Roman" w:hAnsi="Times New Roman" w:eastAsia="仿宋_GB2312" w:cs="Times New Roman"/>
          <w:color w:val="000000"/>
        </w:rPr>
      </w:pPr>
      <w:r>
        <w:rPr>
          <w:rFonts w:ascii="Times New Roman" w:hAnsi="Times New Roman" w:eastAsia="仿宋_GB2312" w:cs="Times New Roman"/>
          <w:color w:val="000000"/>
        </w:rPr>
        <w:t>1.发展机遇</w:t>
      </w:r>
    </w:p>
    <w:p>
      <w:pPr>
        <w:adjustRightInd w:val="0"/>
        <w:snapToGrid w:val="0"/>
        <w:spacing w:line="560" w:lineRule="exact"/>
        <w:ind w:firstLine="640" w:firstLineChars="200"/>
        <w:rPr>
          <w:rFonts w:eastAsia="仿宋_GB2312"/>
          <w:color w:val="000000"/>
          <w:sz w:val="32"/>
          <w:szCs w:val="32"/>
        </w:rPr>
      </w:pPr>
      <w:r>
        <w:rPr>
          <w:rFonts w:hint="eastAsia" w:eastAsia="仿宋_GB2312"/>
          <w:color w:val="000000"/>
          <w:kern w:val="0"/>
          <w:sz w:val="32"/>
          <w:szCs w:val="32"/>
        </w:rPr>
        <w:t>“</w:t>
      </w:r>
      <w:r>
        <w:rPr>
          <w:rFonts w:eastAsia="仿宋_GB2312"/>
          <w:color w:val="000000"/>
          <w:sz w:val="32"/>
          <w:szCs w:val="32"/>
        </w:rPr>
        <w:t>十四五</w:t>
      </w:r>
      <w:r>
        <w:rPr>
          <w:rFonts w:hint="eastAsia" w:eastAsia="仿宋_GB2312"/>
          <w:color w:val="000000"/>
          <w:kern w:val="0"/>
          <w:sz w:val="32"/>
          <w:szCs w:val="32"/>
        </w:rPr>
        <w:t>”</w:t>
      </w:r>
      <w:r>
        <w:rPr>
          <w:rFonts w:eastAsia="仿宋_GB2312"/>
          <w:color w:val="000000"/>
          <w:sz w:val="32"/>
          <w:szCs w:val="32"/>
        </w:rPr>
        <w:t>时期，红桥区应急管理、安全生产、防灾减灾救灾工作面临诸多新的发展机遇。一是党</w:t>
      </w:r>
      <w:r>
        <w:rPr>
          <w:rFonts w:hint="eastAsia" w:eastAsia="仿宋_GB2312"/>
          <w:color w:val="000000"/>
          <w:sz w:val="32"/>
          <w:szCs w:val="32"/>
        </w:rPr>
        <w:t>中央</w:t>
      </w:r>
      <w:r>
        <w:rPr>
          <w:rFonts w:eastAsia="仿宋_GB2312"/>
          <w:color w:val="000000"/>
          <w:sz w:val="32"/>
          <w:szCs w:val="32"/>
        </w:rPr>
        <w:t>高度重视为应急管理事业发展提供重要政治保障。党中央高度重视应急管理、安全生产、防灾减灾救灾工作，以习近平同志为核心的党中央坚持以人民为中心的发展思想，作出了</w:t>
      </w:r>
      <w:r>
        <w:rPr>
          <w:rFonts w:hint="eastAsia" w:eastAsia="仿宋_GB2312"/>
          <w:color w:val="000000"/>
          <w:sz w:val="32"/>
          <w:szCs w:val="32"/>
        </w:rPr>
        <w:t>一</w:t>
      </w:r>
      <w:r>
        <w:rPr>
          <w:rFonts w:eastAsia="仿宋_GB2312"/>
          <w:color w:val="000000"/>
          <w:sz w:val="32"/>
          <w:szCs w:val="32"/>
        </w:rPr>
        <w:t>系列重大决策部署。天津市委</w:t>
      </w:r>
      <w:r>
        <w:rPr>
          <w:rFonts w:hint="eastAsia" w:eastAsia="仿宋_GB2312"/>
          <w:color w:val="000000"/>
          <w:sz w:val="32"/>
          <w:szCs w:val="32"/>
        </w:rPr>
        <w:t>、市政府</w:t>
      </w:r>
      <w:r>
        <w:rPr>
          <w:rFonts w:eastAsia="仿宋_GB2312"/>
          <w:color w:val="000000"/>
          <w:sz w:val="32"/>
          <w:szCs w:val="32"/>
        </w:rPr>
        <w:t>认真贯彻落实国家有关应急管理、安全生产、防灾减灾救灾的各项决策部署，积极主动作为，为全市应急管理、安全生产、防灾减灾救灾工作提供了有力的保障。二是机构改革为应急管理事业发展带来新机遇。机构改革将有效贯通应急管理、安全生产、防灾减灾救灾等</w:t>
      </w:r>
      <w:r>
        <w:rPr>
          <w:rFonts w:hint="eastAsia" w:eastAsia="仿宋_GB2312"/>
          <w:color w:val="000000"/>
          <w:sz w:val="32"/>
          <w:szCs w:val="32"/>
        </w:rPr>
        <w:t>工</w:t>
      </w:r>
      <w:r>
        <w:rPr>
          <w:rFonts w:eastAsia="仿宋_GB2312"/>
          <w:color w:val="000000"/>
          <w:sz w:val="32"/>
          <w:szCs w:val="32"/>
        </w:rPr>
        <w:t>作，有利于建立统一领导、统一指挥、统一管理、统一调度的应急管理机制，解决应急管理体系和能力发展不平衡、不充分的难题。</w:t>
      </w:r>
      <w:r>
        <w:rPr>
          <w:rFonts w:eastAsia="仿宋_GB2312"/>
          <w:bCs/>
          <w:color w:val="000000"/>
          <w:sz w:val="32"/>
          <w:szCs w:val="32"/>
        </w:rPr>
        <w:t>三</w:t>
      </w:r>
      <w:r>
        <w:rPr>
          <w:rFonts w:eastAsia="仿宋_GB2312"/>
          <w:color w:val="000000"/>
          <w:sz w:val="32"/>
          <w:szCs w:val="32"/>
        </w:rPr>
        <w:t>是全面建设社会主义现代化大都市为应急管理发展提供有利契机。经济社会的稳步发展，必然带动安全生产基础条件与防灾减灾基础设施的改善，人民群众对获得感、幸福感、安全感的需求也更加迫切，将有利于应急管理事业的高质量发展。</w:t>
      </w:r>
    </w:p>
    <w:p>
      <w:pPr>
        <w:pStyle w:val="20"/>
        <w:keepNext w:val="0"/>
        <w:keepLines w:val="0"/>
        <w:adjustRightInd w:val="0"/>
        <w:snapToGrid w:val="0"/>
        <w:ind w:firstLine="640"/>
        <w:rPr>
          <w:rFonts w:ascii="Times New Roman" w:hAnsi="Times New Roman" w:eastAsia="仿宋_GB2312" w:cs="Times New Roman"/>
          <w:color w:val="000000"/>
        </w:rPr>
      </w:pPr>
      <w:r>
        <w:rPr>
          <w:rFonts w:ascii="Times New Roman" w:hAnsi="Times New Roman" w:eastAsia="仿宋_GB2312" w:cs="Times New Roman"/>
          <w:color w:val="000000"/>
        </w:rPr>
        <w:t>2.面临挑战</w:t>
      </w:r>
    </w:p>
    <w:p>
      <w:pPr>
        <w:adjustRightInd w:val="0"/>
        <w:snapToGrid w:val="0"/>
        <w:spacing w:line="560" w:lineRule="exact"/>
        <w:ind w:firstLine="640" w:firstLineChars="200"/>
        <w:rPr>
          <w:rFonts w:eastAsia="仿宋_GB2312"/>
          <w:bCs/>
          <w:color w:val="000000"/>
          <w:sz w:val="32"/>
          <w:szCs w:val="32"/>
        </w:rPr>
      </w:pPr>
      <w:r>
        <w:rPr>
          <w:rFonts w:eastAsia="仿宋_GB2312"/>
          <w:color w:val="000000"/>
          <w:sz w:val="32"/>
          <w:szCs w:val="32"/>
        </w:rPr>
        <w:t>在看到发展机遇的同时，我们也要清醒认识到应急管理体系和能力建设现代化还存在许多问题和薄弱环节，亟待强化和解决，主要体现在：一是机构改革后应急管理职能扩大，人员</w:t>
      </w:r>
      <w:r>
        <w:rPr>
          <w:rFonts w:hint="eastAsia" w:eastAsia="仿宋_GB2312"/>
          <w:color w:val="000000"/>
          <w:sz w:val="32"/>
          <w:szCs w:val="32"/>
        </w:rPr>
        <w:t>难以</w:t>
      </w:r>
      <w:r>
        <w:rPr>
          <w:rFonts w:eastAsia="仿宋_GB2312"/>
          <w:color w:val="000000"/>
          <w:sz w:val="32"/>
          <w:szCs w:val="32"/>
        </w:rPr>
        <w:t>满足需求。应急局的</w:t>
      </w:r>
      <w:r>
        <w:rPr>
          <w:rFonts w:hint="eastAsia" w:eastAsia="仿宋_GB2312"/>
          <w:color w:val="000000"/>
          <w:sz w:val="32"/>
          <w:szCs w:val="32"/>
        </w:rPr>
        <w:t>职能</w:t>
      </w:r>
      <w:r>
        <w:rPr>
          <w:rFonts w:eastAsia="仿宋_GB2312"/>
          <w:color w:val="000000"/>
          <w:sz w:val="32"/>
          <w:szCs w:val="32"/>
        </w:rPr>
        <w:t>扩大，增加了地震、消防、防灾减灾、防汛等职能，应急管理机构的专业人员</w:t>
      </w:r>
      <w:r>
        <w:rPr>
          <w:rFonts w:hint="eastAsia" w:eastAsia="仿宋_GB2312"/>
          <w:color w:val="000000"/>
          <w:sz w:val="32"/>
          <w:szCs w:val="32"/>
        </w:rPr>
        <w:t>存在不足</w:t>
      </w:r>
      <w:r>
        <w:rPr>
          <w:rFonts w:eastAsia="仿宋_GB2312"/>
          <w:color w:val="000000"/>
          <w:sz w:val="32"/>
          <w:szCs w:val="32"/>
        </w:rPr>
        <w:t>，基层街道应急管理专业人才匮乏。二是应急救援队伍力量薄弱。区消防救援支队作为综合性救援队伍，在新的机构改革背景下，应急协同机制还不够完善。各类专业应急救援队伍中兼职人员较多，存在人员交叉现象。三是应急物资储备能力不足。应急物资与应急装备在应急救援过程</w:t>
      </w:r>
      <w:r>
        <w:rPr>
          <w:rFonts w:hint="eastAsia" w:eastAsia="仿宋_GB2312"/>
          <w:color w:val="000000"/>
          <w:sz w:val="32"/>
          <w:szCs w:val="32"/>
        </w:rPr>
        <w:t>中</w:t>
      </w:r>
      <w:r>
        <w:rPr>
          <w:rFonts w:eastAsia="仿宋_GB2312"/>
          <w:color w:val="000000"/>
          <w:sz w:val="32"/>
          <w:szCs w:val="32"/>
        </w:rPr>
        <w:t>发挥着重要</w:t>
      </w:r>
      <w:r>
        <w:rPr>
          <w:rFonts w:hint="eastAsia" w:eastAsia="仿宋_GB2312"/>
          <w:color w:val="000000"/>
          <w:sz w:val="32"/>
          <w:szCs w:val="32"/>
        </w:rPr>
        <w:t>基础</w:t>
      </w:r>
      <w:r>
        <w:rPr>
          <w:rFonts w:eastAsia="仿宋_GB2312"/>
          <w:color w:val="000000"/>
          <w:sz w:val="32"/>
          <w:szCs w:val="32"/>
        </w:rPr>
        <w:t>作用，</w:t>
      </w:r>
      <w:r>
        <w:rPr>
          <w:rFonts w:hint="eastAsia" w:eastAsia="仿宋_GB2312"/>
          <w:color w:val="000000"/>
          <w:sz w:val="32"/>
          <w:szCs w:val="32"/>
        </w:rPr>
        <w:t>部门和</w:t>
      </w:r>
      <w:r>
        <w:rPr>
          <w:rFonts w:eastAsia="仿宋_GB2312"/>
          <w:color w:val="000000"/>
          <w:sz w:val="32"/>
          <w:szCs w:val="32"/>
        </w:rPr>
        <w:t>基层街道</w:t>
      </w:r>
      <w:r>
        <w:rPr>
          <w:rFonts w:hint="eastAsia" w:eastAsia="仿宋_GB2312"/>
          <w:color w:val="000000"/>
          <w:sz w:val="32"/>
          <w:szCs w:val="32"/>
        </w:rPr>
        <w:t>的</w:t>
      </w:r>
      <w:r>
        <w:rPr>
          <w:rFonts w:eastAsia="仿宋_GB2312"/>
          <w:color w:val="000000"/>
          <w:sz w:val="32"/>
          <w:szCs w:val="32"/>
        </w:rPr>
        <w:t>物资储备</w:t>
      </w:r>
      <w:r>
        <w:rPr>
          <w:rFonts w:hint="eastAsia" w:eastAsia="仿宋_GB2312"/>
          <w:color w:val="000000"/>
          <w:sz w:val="32"/>
          <w:szCs w:val="32"/>
        </w:rPr>
        <w:t>不足</w:t>
      </w:r>
      <w:r>
        <w:rPr>
          <w:rFonts w:eastAsia="仿宋_GB2312"/>
          <w:color w:val="000000"/>
          <w:sz w:val="32"/>
          <w:szCs w:val="32"/>
        </w:rPr>
        <w:t>，</w:t>
      </w:r>
      <w:r>
        <w:rPr>
          <w:rFonts w:hint="eastAsia" w:eastAsia="仿宋_GB2312"/>
          <w:color w:val="000000"/>
          <w:sz w:val="32"/>
          <w:szCs w:val="32"/>
        </w:rPr>
        <w:t>无法满足救灾需求</w:t>
      </w:r>
      <w:r>
        <w:rPr>
          <w:rFonts w:eastAsia="仿宋_GB2312"/>
          <w:color w:val="000000"/>
          <w:sz w:val="32"/>
          <w:szCs w:val="32"/>
        </w:rPr>
        <w:t>。四是应急避难场所未配备必要应急设施。</w:t>
      </w:r>
      <w:r>
        <w:rPr>
          <w:rFonts w:hint="eastAsia" w:eastAsia="仿宋_GB2312"/>
          <w:color w:val="000000"/>
          <w:kern w:val="0"/>
          <w:sz w:val="32"/>
          <w:szCs w:val="32"/>
        </w:rPr>
        <w:t>“</w:t>
      </w:r>
      <w:r>
        <w:rPr>
          <w:rFonts w:eastAsia="仿宋_GB2312"/>
          <w:color w:val="000000"/>
          <w:sz w:val="32"/>
          <w:szCs w:val="32"/>
        </w:rPr>
        <w:t>十三五</w:t>
      </w:r>
      <w:r>
        <w:rPr>
          <w:rFonts w:hint="eastAsia" w:eastAsia="仿宋_GB2312"/>
          <w:color w:val="000000"/>
          <w:kern w:val="0"/>
          <w:sz w:val="32"/>
          <w:szCs w:val="32"/>
        </w:rPr>
        <w:t>”</w:t>
      </w:r>
      <w:r>
        <w:rPr>
          <w:rFonts w:eastAsia="仿宋_GB2312"/>
          <w:color w:val="000000"/>
          <w:sz w:val="32"/>
          <w:szCs w:val="32"/>
        </w:rPr>
        <w:t>期间建设的西沽公园、红桥公园、滨河公园、西站南广场四处应急避难场所，</w:t>
      </w:r>
      <w:r>
        <w:rPr>
          <w:rFonts w:hint="eastAsia" w:eastAsia="仿宋_GB2312"/>
          <w:color w:val="000000"/>
          <w:sz w:val="32"/>
          <w:szCs w:val="32"/>
        </w:rPr>
        <w:t>对照现有标准，并</w:t>
      </w:r>
      <w:r>
        <w:rPr>
          <w:rFonts w:eastAsia="仿宋_GB2312"/>
          <w:color w:val="000000"/>
          <w:sz w:val="32"/>
          <w:szCs w:val="32"/>
        </w:rPr>
        <w:t>未建设应急通信、应急医疗救护等必要配套设施，不能满足</w:t>
      </w:r>
      <w:r>
        <w:rPr>
          <w:rFonts w:hint="eastAsia" w:eastAsia="仿宋_GB2312"/>
          <w:color w:val="000000"/>
          <w:sz w:val="32"/>
          <w:szCs w:val="32"/>
        </w:rPr>
        <w:t>现实</w:t>
      </w:r>
      <w:r>
        <w:rPr>
          <w:rFonts w:eastAsia="仿宋_GB2312"/>
          <w:color w:val="000000"/>
          <w:sz w:val="32"/>
          <w:szCs w:val="32"/>
        </w:rPr>
        <w:t>需求</w:t>
      </w:r>
      <w:r>
        <w:rPr>
          <w:rFonts w:hint="eastAsia" w:eastAsia="仿宋_GB2312"/>
          <w:color w:val="000000"/>
          <w:sz w:val="32"/>
          <w:szCs w:val="32"/>
        </w:rPr>
        <w:t>，还需进一步完善</w:t>
      </w:r>
      <w:r>
        <w:rPr>
          <w:rFonts w:eastAsia="仿宋_GB2312"/>
          <w:color w:val="000000"/>
          <w:sz w:val="32"/>
          <w:szCs w:val="32"/>
        </w:rPr>
        <w:t>。</w:t>
      </w:r>
    </w:p>
    <w:p>
      <w:pPr>
        <w:pStyle w:val="2"/>
        <w:keepNext w:val="0"/>
        <w:keepLines w:val="0"/>
        <w:adjustRightInd w:val="0"/>
        <w:snapToGrid w:val="0"/>
        <w:spacing w:before="0" w:after="0" w:line="560" w:lineRule="exact"/>
        <w:ind w:firstLine="640" w:firstLineChars="200"/>
        <w:rPr>
          <w:rFonts w:ascii="Times New Roman" w:hAnsi="Times New Roman" w:eastAsia="黑体"/>
          <w:b w:val="0"/>
          <w:bCs w:val="0"/>
          <w:color w:val="000000"/>
          <w:sz w:val="32"/>
          <w:szCs w:val="32"/>
        </w:rPr>
      </w:pPr>
      <w:bookmarkStart w:id="6" w:name="_Toc31473"/>
      <w:bookmarkStart w:id="7" w:name="_Toc46919127"/>
      <w:bookmarkStart w:id="8" w:name="_Toc3457"/>
      <w:bookmarkStart w:id="9" w:name="_Toc448397334"/>
      <w:r>
        <w:rPr>
          <w:rFonts w:ascii="Times New Roman" w:hAnsi="Times New Roman" w:eastAsia="黑体"/>
          <w:b w:val="0"/>
          <w:bCs w:val="0"/>
          <w:color w:val="000000"/>
          <w:sz w:val="32"/>
          <w:szCs w:val="32"/>
        </w:rPr>
        <w:t>二、指导思想、基本原则和主要目标</w:t>
      </w:r>
      <w:bookmarkEnd w:id="6"/>
      <w:bookmarkEnd w:id="7"/>
      <w:bookmarkEnd w:id="8"/>
      <w:bookmarkEnd w:id="9"/>
    </w:p>
    <w:p>
      <w:pPr>
        <w:pStyle w:val="3"/>
        <w:keepNext w:val="0"/>
        <w:keepLines w:val="0"/>
        <w:adjustRightInd w:val="0"/>
        <w:snapToGrid w:val="0"/>
        <w:spacing w:before="0" w:after="0" w:line="560" w:lineRule="exact"/>
        <w:ind w:firstLine="640" w:firstLineChars="200"/>
        <w:rPr>
          <w:rFonts w:ascii="Times New Roman" w:hAnsi="Times New Roman" w:eastAsia="楷体_GB2312"/>
          <w:b w:val="0"/>
          <w:color w:val="000000"/>
          <w:kern w:val="0"/>
        </w:rPr>
      </w:pPr>
      <w:r>
        <w:rPr>
          <w:rFonts w:ascii="Times New Roman" w:hAnsi="Times New Roman" w:eastAsia="楷体_GB2312"/>
          <w:b w:val="0"/>
          <w:color w:val="000000"/>
          <w:kern w:val="0"/>
        </w:rPr>
        <w:t>（一）指导思想</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以习近平新时代中国特色社会主义思想为指导，全面贯彻落实党的十九大和十九届二中、三中、四中、五中</w:t>
      </w:r>
      <w:r>
        <w:rPr>
          <w:rFonts w:hint="eastAsia" w:eastAsia="仿宋_GB2312"/>
          <w:color w:val="000000"/>
          <w:sz w:val="32"/>
          <w:szCs w:val="32"/>
        </w:rPr>
        <w:t>、六中</w:t>
      </w:r>
      <w:r>
        <w:rPr>
          <w:rFonts w:eastAsia="仿宋_GB2312"/>
          <w:color w:val="000000"/>
          <w:sz w:val="32"/>
          <w:szCs w:val="32"/>
        </w:rPr>
        <w:t>全会精神和市委</w:t>
      </w:r>
      <w:r>
        <w:rPr>
          <w:rFonts w:hint="eastAsia" w:eastAsia="仿宋_GB2312"/>
          <w:color w:val="000000"/>
          <w:sz w:val="32"/>
          <w:szCs w:val="32"/>
        </w:rPr>
        <w:t>历</w:t>
      </w:r>
      <w:r>
        <w:rPr>
          <w:rFonts w:eastAsia="仿宋_GB2312"/>
          <w:color w:val="000000"/>
          <w:sz w:val="32"/>
          <w:szCs w:val="32"/>
        </w:rPr>
        <w:t>次全会精神，围绕推动落实</w:t>
      </w:r>
      <w:r>
        <w:rPr>
          <w:rFonts w:hint="eastAsia" w:eastAsia="仿宋_GB2312"/>
          <w:color w:val="000000"/>
          <w:kern w:val="0"/>
          <w:sz w:val="32"/>
          <w:szCs w:val="32"/>
        </w:rPr>
        <w:t>“</w:t>
      </w:r>
      <w:r>
        <w:rPr>
          <w:rFonts w:eastAsia="仿宋_GB2312"/>
          <w:color w:val="000000"/>
          <w:sz w:val="32"/>
          <w:szCs w:val="32"/>
        </w:rPr>
        <w:t>五位一体</w:t>
      </w:r>
      <w:r>
        <w:rPr>
          <w:rFonts w:hint="eastAsia" w:eastAsia="仿宋_GB2312"/>
          <w:color w:val="000000"/>
          <w:kern w:val="0"/>
          <w:sz w:val="32"/>
          <w:szCs w:val="32"/>
        </w:rPr>
        <w:t>”</w:t>
      </w:r>
      <w:r>
        <w:rPr>
          <w:rFonts w:eastAsia="仿宋_GB2312"/>
          <w:color w:val="000000"/>
          <w:sz w:val="32"/>
          <w:szCs w:val="32"/>
        </w:rPr>
        <w:t>总体布局和</w:t>
      </w:r>
      <w:r>
        <w:rPr>
          <w:rFonts w:hint="eastAsia" w:eastAsia="仿宋_GB2312"/>
          <w:color w:val="000000"/>
          <w:kern w:val="0"/>
          <w:sz w:val="32"/>
          <w:szCs w:val="32"/>
        </w:rPr>
        <w:t>“</w:t>
      </w:r>
      <w:r>
        <w:rPr>
          <w:rFonts w:eastAsia="仿宋_GB2312"/>
          <w:color w:val="000000"/>
          <w:sz w:val="32"/>
          <w:szCs w:val="32"/>
        </w:rPr>
        <w:t>四个全面</w:t>
      </w:r>
      <w:r>
        <w:rPr>
          <w:rFonts w:hint="eastAsia" w:eastAsia="仿宋_GB2312"/>
          <w:color w:val="000000"/>
          <w:kern w:val="0"/>
          <w:sz w:val="32"/>
          <w:szCs w:val="32"/>
        </w:rPr>
        <w:t>”</w:t>
      </w:r>
      <w:r>
        <w:rPr>
          <w:rFonts w:eastAsia="仿宋_GB2312"/>
          <w:color w:val="000000"/>
          <w:sz w:val="32"/>
          <w:szCs w:val="32"/>
        </w:rPr>
        <w:t>战略布局，</w:t>
      </w:r>
      <w:r>
        <w:rPr>
          <w:rFonts w:hint="eastAsia" w:eastAsia="仿宋_GB2312"/>
          <w:color w:val="000000"/>
          <w:sz w:val="32"/>
          <w:szCs w:val="32"/>
        </w:rPr>
        <w:t>深入落实</w:t>
      </w:r>
      <w:r>
        <w:rPr>
          <w:rFonts w:eastAsia="仿宋_GB2312"/>
          <w:color w:val="000000"/>
          <w:sz w:val="32"/>
          <w:szCs w:val="32"/>
        </w:rPr>
        <w:t>以习近平总书记对天津工作</w:t>
      </w:r>
      <w:r>
        <w:rPr>
          <w:rFonts w:hint="eastAsia" w:eastAsia="仿宋_GB2312"/>
          <w:color w:val="000000"/>
          <w:kern w:val="0"/>
          <w:sz w:val="32"/>
          <w:szCs w:val="32"/>
        </w:rPr>
        <w:t>“</w:t>
      </w:r>
      <w:r>
        <w:rPr>
          <w:rFonts w:eastAsia="仿宋_GB2312"/>
          <w:color w:val="000000"/>
          <w:sz w:val="32"/>
          <w:szCs w:val="32"/>
        </w:rPr>
        <w:t>三个着力</w:t>
      </w:r>
      <w:r>
        <w:rPr>
          <w:rFonts w:hint="eastAsia" w:eastAsia="仿宋_GB2312"/>
          <w:color w:val="000000"/>
          <w:kern w:val="0"/>
          <w:sz w:val="32"/>
          <w:szCs w:val="32"/>
        </w:rPr>
        <w:t>”</w:t>
      </w:r>
      <w:r>
        <w:rPr>
          <w:rFonts w:eastAsia="仿宋_GB2312"/>
          <w:color w:val="000000"/>
          <w:sz w:val="32"/>
          <w:szCs w:val="32"/>
        </w:rPr>
        <w:t>重要要求和一系列重要指示批示精神，增强</w:t>
      </w:r>
      <w:r>
        <w:rPr>
          <w:rFonts w:hint="eastAsia" w:eastAsia="仿宋_GB2312"/>
          <w:color w:val="000000"/>
          <w:kern w:val="0"/>
          <w:sz w:val="32"/>
          <w:szCs w:val="32"/>
        </w:rPr>
        <w:t>“</w:t>
      </w:r>
      <w:r>
        <w:rPr>
          <w:rFonts w:eastAsia="仿宋_GB2312"/>
          <w:color w:val="000000"/>
          <w:sz w:val="32"/>
          <w:szCs w:val="32"/>
        </w:rPr>
        <w:t>四个意识</w:t>
      </w:r>
      <w:r>
        <w:rPr>
          <w:rFonts w:hint="eastAsia" w:eastAsia="仿宋_GB2312"/>
          <w:color w:val="000000"/>
          <w:kern w:val="0"/>
          <w:sz w:val="32"/>
          <w:szCs w:val="32"/>
        </w:rPr>
        <w:t>”</w:t>
      </w:r>
      <w:r>
        <w:rPr>
          <w:rFonts w:eastAsia="仿宋_GB2312"/>
          <w:color w:val="000000"/>
          <w:sz w:val="32"/>
          <w:szCs w:val="32"/>
        </w:rPr>
        <w:t>、坚定</w:t>
      </w:r>
      <w:r>
        <w:rPr>
          <w:rFonts w:hint="eastAsia" w:eastAsia="仿宋_GB2312"/>
          <w:color w:val="000000"/>
          <w:kern w:val="0"/>
          <w:sz w:val="32"/>
          <w:szCs w:val="32"/>
        </w:rPr>
        <w:t>“</w:t>
      </w:r>
      <w:r>
        <w:rPr>
          <w:rFonts w:eastAsia="仿宋_GB2312"/>
          <w:color w:val="000000"/>
          <w:sz w:val="32"/>
          <w:szCs w:val="32"/>
        </w:rPr>
        <w:t>四个自信</w:t>
      </w:r>
      <w:r>
        <w:rPr>
          <w:rFonts w:hint="eastAsia" w:eastAsia="仿宋_GB2312"/>
          <w:color w:val="000000"/>
          <w:kern w:val="0"/>
          <w:sz w:val="32"/>
          <w:szCs w:val="32"/>
        </w:rPr>
        <w:t>”</w:t>
      </w:r>
      <w:r>
        <w:rPr>
          <w:rFonts w:eastAsia="仿宋_GB2312"/>
          <w:color w:val="000000"/>
          <w:sz w:val="32"/>
          <w:szCs w:val="32"/>
        </w:rPr>
        <w:t>、坚决做到</w:t>
      </w:r>
      <w:r>
        <w:rPr>
          <w:rFonts w:hint="eastAsia" w:eastAsia="仿宋_GB2312"/>
          <w:color w:val="000000"/>
          <w:kern w:val="0"/>
          <w:sz w:val="32"/>
          <w:szCs w:val="32"/>
        </w:rPr>
        <w:t>“</w:t>
      </w:r>
      <w:r>
        <w:rPr>
          <w:rFonts w:eastAsia="仿宋_GB2312"/>
          <w:color w:val="000000"/>
          <w:sz w:val="32"/>
          <w:szCs w:val="32"/>
        </w:rPr>
        <w:t>两个维护</w:t>
      </w:r>
      <w:r>
        <w:rPr>
          <w:rFonts w:hint="eastAsia" w:eastAsia="仿宋_GB2312"/>
          <w:color w:val="000000"/>
          <w:kern w:val="0"/>
          <w:sz w:val="32"/>
          <w:szCs w:val="32"/>
        </w:rPr>
        <w:t>”</w:t>
      </w:r>
      <w:r>
        <w:rPr>
          <w:rFonts w:eastAsia="仿宋_GB2312"/>
          <w:color w:val="000000"/>
          <w:sz w:val="32"/>
          <w:szCs w:val="32"/>
        </w:rPr>
        <w:t>，以防范化解重大安全风险、筑牢</w:t>
      </w:r>
      <w:r>
        <w:rPr>
          <w:rFonts w:hint="eastAsia" w:eastAsia="仿宋_GB2312"/>
          <w:color w:val="000000"/>
          <w:sz w:val="32"/>
          <w:szCs w:val="32"/>
        </w:rPr>
        <w:t>安全</w:t>
      </w:r>
      <w:r>
        <w:rPr>
          <w:rFonts w:eastAsia="仿宋_GB2312"/>
          <w:color w:val="000000"/>
          <w:sz w:val="32"/>
          <w:szCs w:val="32"/>
        </w:rPr>
        <w:t>发展</w:t>
      </w:r>
      <w:r>
        <w:rPr>
          <w:rFonts w:hint="eastAsia" w:eastAsia="仿宋_GB2312"/>
          <w:color w:val="000000"/>
          <w:sz w:val="32"/>
          <w:szCs w:val="32"/>
        </w:rPr>
        <w:t>基础</w:t>
      </w:r>
      <w:r>
        <w:rPr>
          <w:rFonts w:eastAsia="仿宋_GB2312"/>
          <w:color w:val="000000"/>
          <w:sz w:val="32"/>
          <w:szCs w:val="32"/>
        </w:rPr>
        <w:t>为主题，以推进应急管理体系和能力现代化为主线，以全面遏制较大以上生产安全事故、最大限度降低灾害损失为主攻方向，全面加强应急管理，有效维护人民群众生命财产安全和社会稳定，不断增强人民群众的获得感、幸福感、安全感。</w:t>
      </w:r>
    </w:p>
    <w:p>
      <w:pPr>
        <w:pStyle w:val="3"/>
        <w:keepNext w:val="0"/>
        <w:keepLines w:val="0"/>
        <w:adjustRightInd w:val="0"/>
        <w:snapToGrid w:val="0"/>
        <w:spacing w:before="0" w:after="0" w:line="560" w:lineRule="exact"/>
        <w:ind w:firstLine="640" w:firstLineChars="200"/>
        <w:rPr>
          <w:rFonts w:ascii="Times New Roman" w:hAnsi="Times New Roman" w:eastAsia="楷体_GB2312"/>
          <w:b w:val="0"/>
          <w:color w:val="000000"/>
          <w:kern w:val="0"/>
        </w:rPr>
      </w:pPr>
      <w:r>
        <w:rPr>
          <w:rFonts w:ascii="Times New Roman" w:hAnsi="Times New Roman" w:eastAsia="楷体_GB2312"/>
          <w:b w:val="0"/>
          <w:color w:val="000000"/>
          <w:kern w:val="0"/>
        </w:rPr>
        <w:t>（二）基本原则</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坚持党的领导。坚持党对应急管理工作的绝对领导，以习近平总书记关于应急管理工作重要论述为遵循，发挥党总揽全局、协调各方的领导核心作用，把党的政治优势、组织优势转化为发展优势，将党的领导贯穿到应急管理各领域、全过程，为应急管理体系和能力建设凝聚力量、提供保障。</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——坚持两个至上。坚持</w:t>
      </w:r>
      <w:r>
        <w:rPr>
          <w:rFonts w:hint="eastAsia" w:eastAsia="仿宋_GB2312"/>
          <w:color w:val="000000"/>
          <w:kern w:val="0"/>
          <w:sz w:val="32"/>
          <w:szCs w:val="32"/>
        </w:rPr>
        <w:t>“</w:t>
      </w:r>
      <w:r>
        <w:rPr>
          <w:rFonts w:eastAsia="仿宋_GB2312"/>
          <w:color w:val="000000"/>
          <w:sz w:val="32"/>
          <w:szCs w:val="32"/>
        </w:rPr>
        <w:t>人民至上、生命至上</w:t>
      </w:r>
      <w:r>
        <w:rPr>
          <w:rFonts w:hint="eastAsia" w:eastAsia="仿宋_GB2312"/>
          <w:color w:val="000000"/>
          <w:kern w:val="0"/>
          <w:sz w:val="32"/>
          <w:szCs w:val="32"/>
        </w:rPr>
        <w:t>”</w:t>
      </w:r>
      <w:r>
        <w:rPr>
          <w:rFonts w:eastAsia="仿宋_GB2312"/>
          <w:color w:val="000000"/>
          <w:sz w:val="32"/>
          <w:szCs w:val="32"/>
        </w:rPr>
        <w:t>的发展思想，把保护人民群众生命安全作为首要目标，</w:t>
      </w:r>
      <w:r>
        <w:rPr>
          <w:rFonts w:hint="eastAsia" w:eastAsia="仿宋_GB2312"/>
          <w:color w:val="000000"/>
          <w:sz w:val="32"/>
          <w:szCs w:val="32"/>
        </w:rPr>
        <w:t>统筹发展和安全</w:t>
      </w:r>
      <w:r>
        <w:rPr>
          <w:rFonts w:eastAsia="仿宋_GB2312"/>
          <w:color w:val="000000"/>
          <w:sz w:val="32"/>
          <w:szCs w:val="32"/>
        </w:rPr>
        <w:t>，保障</w:t>
      </w:r>
      <w:r>
        <w:rPr>
          <w:rFonts w:hint="eastAsia" w:eastAsia="仿宋_GB2312"/>
          <w:color w:val="000000"/>
          <w:sz w:val="32"/>
          <w:szCs w:val="32"/>
        </w:rPr>
        <w:t>人民群众</w:t>
      </w:r>
      <w:r>
        <w:rPr>
          <w:rFonts w:eastAsia="仿宋_GB2312"/>
          <w:color w:val="000000"/>
          <w:sz w:val="32"/>
          <w:szCs w:val="32"/>
        </w:rPr>
        <w:t>生产、生活、财产安全，维护社会稳定，最大程度</w:t>
      </w:r>
      <w:r>
        <w:rPr>
          <w:rFonts w:hint="eastAsia" w:eastAsia="仿宋_GB2312"/>
          <w:color w:val="000000"/>
          <w:sz w:val="32"/>
          <w:szCs w:val="32"/>
        </w:rPr>
        <w:t>减少</w:t>
      </w:r>
      <w:r>
        <w:rPr>
          <w:rFonts w:eastAsia="仿宋_GB2312"/>
          <w:color w:val="000000"/>
          <w:sz w:val="32"/>
          <w:szCs w:val="32"/>
        </w:rPr>
        <w:t>突发事件</w:t>
      </w:r>
      <w:r>
        <w:rPr>
          <w:rFonts w:hint="eastAsia" w:eastAsia="仿宋_GB2312"/>
          <w:color w:val="000000"/>
          <w:sz w:val="32"/>
          <w:szCs w:val="32"/>
        </w:rPr>
        <w:t>并</w:t>
      </w:r>
      <w:r>
        <w:rPr>
          <w:rFonts w:eastAsia="仿宋_GB2312"/>
          <w:color w:val="000000"/>
          <w:sz w:val="32"/>
          <w:szCs w:val="32"/>
        </w:rPr>
        <w:t>减轻其造成的损害。</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——坚持防控为主。按照预防与应急并重、防抗救相结合</w:t>
      </w:r>
      <w:r>
        <w:rPr>
          <w:rFonts w:hint="eastAsia" w:eastAsia="仿宋_GB2312"/>
          <w:color w:val="000000"/>
          <w:sz w:val="32"/>
          <w:szCs w:val="32"/>
        </w:rPr>
        <w:t>的原则</w:t>
      </w:r>
      <w:r>
        <w:rPr>
          <w:rFonts w:eastAsia="仿宋_GB2312"/>
          <w:color w:val="000000"/>
          <w:sz w:val="32"/>
          <w:szCs w:val="32"/>
        </w:rPr>
        <w:t>，强化预防治本，健全风险防范化解机制，最大限度控制和消除风险隐患，从源头上防范化解重大安全风险，真正把问题解决在萌芽之时、成灾之前。</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——坚持社会共治。注重市场机制调节作用，强化社会参与，把群众观点和群众路线贯穿工作始终，</w:t>
      </w:r>
      <w:r>
        <w:rPr>
          <w:rFonts w:hint="eastAsia" w:eastAsia="仿宋_GB2312"/>
          <w:color w:val="000000"/>
          <w:sz w:val="32"/>
          <w:szCs w:val="32"/>
        </w:rPr>
        <w:t>紧密</w:t>
      </w:r>
      <w:r>
        <w:rPr>
          <w:rFonts w:eastAsia="仿宋_GB2312"/>
          <w:color w:val="000000"/>
          <w:sz w:val="32"/>
          <w:szCs w:val="32"/>
        </w:rPr>
        <w:t>组织群众、依靠群众、发动群众、服务群众，筑牢防灾减灾救灾的人民防线。积极构建人人有责、人人尽责、人人参与、人人享有的治理格局。</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坚持系统观念。加强前瞻性思考、全局性谋划、战略性布局、整体性推进，牢固树立应急管理一盘棋思想，着力固根基、扬优势、补短板、强弱项，强化底线思维，着力防范化解重大安全风险挑战，系统谋划构建应对重大突发事件的应急保障体系。</w:t>
      </w:r>
    </w:p>
    <w:p>
      <w:pPr>
        <w:pStyle w:val="3"/>
        <w:keepNext w:val="0"/>
        <w:keepLines w:val="0"/>
        <w:adjustRightInd w:val="0"/>
        <w:snapToGrid w:val="0"/>
        <w:spacing w:before="0" w:after="0" w:line="560" w:lineRule="exact"/>
        <w:ind w:firstLine="640" w:firstLineChars="200"/>
        <w:rPr>
          <w:rFonts w:ascii="Times New Roman" w:hAnsi="Times New Roman" w:eastAsia="楷体_GB2312"/>
          <w:b w:val="0"/>
          <w:color w:val="000000"/>
          <w:kern w:val="0"/>
        </w:rPr>
      </w:pPr>
      <w:r>
        <w:rPr>
          <w:rFonts w:ascii="Times New Roman" w:hAnsi="Times New Roman" w:eastAsia="楷体_GB2312"/>
          <w:b w:val="0"/>
          <w:color w:val="000000"/>
          <w:kern w:val="0"/>
        </w:rPr>
        <w:t>（三）主要目标</w:t>
      </w:r>
    </w:p>
    <w:p>
      <w:pPr>
        <w:pStyle w:val="20"/>
        <w:keepNext w:val="0"/>
        <w:keepLines w:val="0"/>
        <w:adjustRightInd w:val="0"/>
        <w:snapToGrid w:val="0"/>
        <w:ind w:firstLine="640"/>
        <w:rPr>
          <w:rFonts w:ascii="Times New Roman" w:hAnsi="Times New Roman" w:eastAsia="仿宋_GB2312" w:cs="Times New Roman"/>
          <w:color w:val="000000"/>
        </w:rPr>
      </w:pPr>
      <w:r>
        <w:rPr>
          <w:rFonts w:ascii="Times New Roman" w:hAnsi="Times New Roman" w:eastAsia="仿宋_GB2312" w:cs="Times New Roman"/>
          <w:color w:val="000000"/>
        </w:rPr>
        <w:t>1.总体目标</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到2025年，基本建成与天津市应急管理体制相衔接，与红桥区经济社会发展</w:t>
      </w:r>
      <w:r>
        <w:rPr>
          <w:rFonts w:hint="eastAsia" w:eastAsia="仿宋_GB2312"/>
          <w:color w:val="000000"/>
          <w:sz w:val="32"/>
          <w:szCs w:val="32"/>
        </w:rPr>
        <w:t>实际</w:t>
      </w:r>
      <w:r>
        <w:rPr>
          <w:rFonts w:eastAsia="仿宋_GB2312"/>
          <w:color w:val="000000"/>
          <w:sz w:val="32"/>
          <w:szCs w:val="32"/>
        </w:rPr>
        <w:t>相契合的统一指挥、专常兼备、反应灵敏、上下联动的应急管理体制，形成统一领导、权责一致、权威高效的应急能力体系。安全生产、综合防灾减灾形势趋稳向好，各类生产安全事故死亡人数持续下降，防范较大以上生产安全事故</w:t>
      </w:r>
      <w:r>
        <w:rPr>
          <w:rFonts w:hint="eastAsia" w:eastAsia="仿宋_GB2312"/>
          <w:color w:val="000000"/>
          <w:sz w:val="32"/>
          <w:szCs w:val="32"/>
        </w:rPr>
        <w:t>、</w:t>
      </w:r>
      <w:r>
        <w:rPr>
          <w:rFonts w:eastAsia="仿宋_GB2312"/>
          <w:color w:val="000000"/>
          <w:sz w:val="32"/>
          <w:szCs w:val="32"/>
        </w:rPr>
        <w:t>应对灾害事故风险的能力显著增强，为实现应急管理体系和能力现代化奠定坚实基础。</w:t>
      </w:r>
    </w:p>
    <w:p>
      <w:pPr>
        <w:pStyle w:val="20"/>
        <w:keepNext w:val="0"/>
        <w:keepLines w:val="0"/>
        <w:adjustRightInd w:val="0"/>
        <w:snapToGrid w:val="0"/>
        <w:spacing w:line="640" w:lineRule="exact"/>
        <w:ind w:firstLine="640"/>
        <w:rPr>
          <w:rFonts w:ascii="Times New Roman" w:hAnsi="Times New Roman" w:eastAsia="仿宋_GB2312" w:cs="Times New Roman"/>
          <w:color w:val="000000"/>
        </w:rPr>
      </w:pPr>
      <w:bookmarkStart w:id="10" w:name="_Toc50368272"/>
      <w:bookmarkStart w:id="11" w:name="_Toc20005"/>
      <w:bookmarkStart w:id="12" w:name="_Toc448397338"/>
      <w:bookmarkStart w:id="13" w:name="_Toc446854067"/>
      <w:bookmarkStart w:id="14" w:name="_Toc444688212"/>
      <w:bookmarkStart w:id="15" w:name="_Toc46919131"/>
      <w:r>
        <w:rPr>
          <w:rFonts w:ascii="Times New Roman" w:hAnsi="Times New Roman" w:eastAsia="仿宋_GB2312" w:cs="Times New Roman"/>
          <w:color w:val="000000"/>
        </w:rPr>
        <w:t>2.主要指标</w:t>
      </w:r>
    </w:p>
    <w:bookmarkEnd w:id="10"/>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4252"/>
        <w:gridCol w:w="2183"/>
        <w:gridCol w:w="227"/>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40" w:lineRule="exact"/>
              <w:jc w:val="center"/>
              <w:rPr>
                <w:rFonts w:eastAsia="仿宋_GB2312"/>
                <w:color w:val="000000"/>
                <w:sz w:val="28"/>
                <w:szCs w:val="28"/>
              </w:rPr>
            </w:pPr>
            <w:r>
              <w:rPr>
                <w:rFonts w:eastAsia="仿宋_GB2312"/>
                <w:color w:val="000000"/>
                <w:sz w:val="28"/>
                <w:szCs w:val="28"/>
              </w:rPr>
              <w:t>序号</w:t>
            </w:r>
          </w:p>
        </w:tc>
        <w:tc>
          <w:tcPr>
            <w:tcW w:w="42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40" w:lineRule="exact"/>
              <w:jc w:val="center"/>
              <w:rPr>
                <w:rFonts w:eastAsia="仿宋_GB2312"/>
                <w:color w:val="000000"/>
                <w:sz w:val="28"/>
                <w:szCs w:val="28"/>
              </w:rPr>
            </w:pPr>
            <w:r>
              <w:rPr>
                <w:rFonts w:eastAsia="仿宋_GB2312"/>
                <w:color w:val="000000"/>
                <w:sz w:val="28"/>
                <w:szCs w:val="28"/>
              </w:rPr>
              <w:t>指标内容</w:t>
            </w:r>
          </w:p>
        </w:tc>
        <w:tc>
          <w:tcPr>
            <w:tcW w:w="21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40" w:lineRule="exact"/>
              <w:jc w:val="center"/>
              <w:rPr>
                <w:rFonts w:eastAsia="仿宋_GB2312"/>
                <w:color w:val="000000"/>
                <w:sz w:val="28"/>
                <w:szCs w:val="28"/>
              </w:rPr>
            </w:pPr>
            <w:r>
              <w:rPr>
                <w:rFonts w:eastAsia="仿宋_GB2312"/>
                <w:color w:val="000000"/>
                <w:sz w:val="28"/>
                <w:szCs w:val="28"/>
              </w:rPr>
              <w:t>预期值</w:t>
            </w:r>
          </w:p>
        </w:tc>
        <w:tc>
          <w:tcPr>
            <w:tcW w:w="13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640" w:lineRule="exact"/>
              <w:jc w:val="center"/>
              <w:rPr>
                <w:rFonts w:eastAsia="仿宋_GB2312"/>
                <w:color w:val="000000"/>
                <w:sz w:val="28"/>
                <w:szCs w:val="28"/>
              </w:rPr>
            </w:pPr>
            <w:r>
              <w:rPr>
                <w:rFonts w:eastAsia="仿宋_GB2312"/>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613"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eastAsia="仿宋_GB2312"/>
                <w:color w:val="000000"/>
                <w:sz w:val="28"/>
                <w:szCs w:val="28"/>
              </w:rPr>
            </w:pPr>
            <w:r>
              <w:rPr>
                <w:rFonts w:eastAsia="仿宋_GB2312"/>
                <w:color w:val="000000"/>
                <w:sz w:val="28"/>
                <w:szCs w:val="28"/>
              </w:rPr>
              <w:t>安全生产类指标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eastAsia="仿宋_GB2312"/>
                <w:color w:val="000000"/>
                <w:sz w:val="28"/>
                <w:szCs w:val="28"/>
              </w:rPr>
            </w:pPr>
            <w:r>
              <w:rPr>
                <w:rFonts w:eastAsia="仿宋_GB2312"/>
                <w:color w:val="000000"/>
                <w:sz w:val="28"/>
                <w:szCs w:val="28"/>
              </w:rPr>
              <w:t>1</w:t>
            </w:r>
          </w:p>
        </w:tc>
        <w:tc>
          <w:tcPr>
            <w:tcW w:w="4252" w:type="dxa"/>
            <w:tcBorders>
              <w:top w:val="single" w:color="auto" w:sz="4" w:space="0"/>
              <w:left w:val="single" w:color="auto" w:sz="4" w:space="0"/>
              <w:bottom w:val="single" w:color="auto" w:sz="4" w:space="0"/>
              <w:right w:val="single" w:color="auto" w:sz="4" w:space="0"/>
            </w:tcBorders>
            <w:vAlign w:val="center"/>
          </w:tcPr>
          <w:p>
            <w:pPr>
              <w:pStyle w:val="21"/>
              <w:widowControl w:val="0"/>
              <w:adjustRightInd w:val="0"/>
              <w:snapToGrid w:val="0"/>
              <w:spacing w:line="560" w:lineRule="exact"/>
              <w:jc w:val="both"/>
              <w:rPr>
                <w:rFonts w:eastAsia="仿宋_GB2312" w:cs="Times New Roman"/>
                <w:bCs/>
                <w:color w:val="000000"/>
                <w:sz w:val="28"/>
                <w:szCs w:val="28"/>
              </w:rPr>
            </w:pPr>
            <w:r>
              <w:rPr>
                <w:rFonts w:eastAsia="仿宋_GB2312" w:cs="Times New Roman"/>
                <w:bCs/>
                <w:color w:val="000000"/>
                <w:sz w:val="28"/>
                <w:szCs w:val="28"/>
              </w:rPr>
              <w:t>单位国内生产总值生产安全事故死亡率</w:t>
            </w:r>
          </w:p>
        </w:tc>
        <w:tc>
          <w:tcPr>
            <w:tcW w:w="2183" w:type="dxa"/>
            <w:tcBorders>
              <w:top w:val="single" w:color="auto" w:sz="4" w:space="0"/>
              <w:left w:val="single" w:color="auto" w:sz="4" w:space="0"/>
              <w:bottom w:val="single" w:color="auto" w:sz="4" w:space="0"/>
              <w:right w:val="single" w:color="auto" w:sz="4" w:space="0"/>
            </w:tcBorders>
            <w:vAlign w:val="center"/>
          </w:tcPr>
          <w:p>
            <w:pPr>
              <w:pStyle w:val="21"/>
              <w:widowControl w:val="0"/>
              <w:adjustRightInd w:val="0"/>
              <w:snapToGrid w:val="0"/>
              <w:spacing w:line="560" w:lineRule="exact"/>
              <w:ind w:firstLine="560" w:firstLineChars="200"/>
              <w:jc w:val="both"/>
              <w:rPr>
                <w:rFonts w:eastAsia="仿宋_GB2312" w:cs="Times New Roman"/>
                <w:bCs/>
                <w:color w:val="000000"/>
                <w:sz w:val="28"/>
                <w:szCs w:val="28"/>
              </w:rPr>
            </w:pPr>
            <w:r>
              <w:rPr>
                <w:rFonts w:eastAsia="仿宋_GB2312" w:cs="Times New Roman"/>
                <w:bCs/>
                <w:color w:val="000000"/>
                <w:sz w:val="28"/>
                <w:szCs w:val="28"/>
              </w:rPr>
              <w:t>下降33%</w:t>
            </w:r>
          </w:p>
        </w:tc>
        <w:tc>
          <w:tcPr>
            <w:tcW w:w="1300" w:type="dxa"/>
            <w:gridSpan w:val="2"/>
            <w:tcBorders>
              <w:top w:val="single" w:color="auto" w:sz="4" w:space="0"/>
              <w:left w:val="single" w:color="auto" w:sz="4" w:space="0"/>
              <w:bottom w:val="single" w:color="auto" w:sz="4" w:space="0"/>
              <w:right w:val="single" w:color="auto" w:sz="4" w:space="0"/>
            </w:tcBorders>
            <w:vAlign w:val="center"/>
          </w:tcPr>
          <w:p>
            <w:pPr>
              <w:pStyle w:val="21"/>
              <w:widowControl w:val="0"/>
              <w:adjustRightInd w:val="0"/>
              <w:snapToGrid w:val="0"/>
              <w:spacing w:line="560" w:lineRule="exact"/>
              <w:jc w:val="both"/>
              <w:rPr>
                <w:rFonts w:eastAsia="仿宋_GB2312" w:cs="Times New Roman"/>
                <w:bCs/>
                <w:color w:val="000000"/>
                <w:sz w:val="28"/>
                <w:szCs w:val="28"/>
              </w:rPr>
            </w:pPr>
            <w:r>
              <w:rPr>
                <w:rFonts w:eastAsia="仿宋_GB2312" w:cs="Times New Roman"/>
                <w:bCs/>
                <w:color w:val="000000"/>
                <w:sz w:val="28"/>
                <w:szCs w:val="2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eastAsia="仿宋_GB2312"/>
                <w:color w:val="000000"/>
                <w:sz w:val="28"/>
                <w:szCs w:val="28"/>
              </w:rPr>
            </w:pPr>
            <w:r>
              <w:rPr>
                <w:rFonts w:eastAsia="仿宋_GB2312"/>
                <w:color w:val="000000"/>
                <w:sz w:val="28"/>
                <w:szCs w:val="28"/>
              </w:rPr>
              <w:t>2</w:t>
            </w:r>
          </w:p>
        </w:tc>
        <w:tc>
          <w:tcPr>
            <w:tcW w:w="4252" w:type="dxa"/>
            <w:tcBorders>
              <w:top w:val="single" w:color="auto" w:sz="4" w:space="0"/>
              <w:left w:val="single" w:color="auto" w:sz="4" w:space="0"/>
              <w:bottom w:val="single" w:color="auto" w:sz="4" w:space="0"/>
              <w:right w:val="single" w:color="auto" w:sz="4" w:space="0"/>
            </w:tcBorders>
            <w:vAlign w:val="center"/>
          </w:tcPr>
          <w:p>
            <w:pPr>
              <w:pStyle w:val="21"/>
              <w:widowControl w:val="0"/>
              <w:adjustRightInd w:val="0"/>
              <w:snapToGrid w:val="0"/>
              <w:spacing w:line="560" w:lineRule="exact"/>
              <w:jc w:val="both"/>
              <w:rPr>
                <w:rFonts w:eastAsia="仿宋_GB2312" w:cs="Times New Roman"/>
                <w:bCs/>
                <w:color w:val="000000"/>
                <w:sz w:val="28"/>
                <w:szCs w:val="28"/>
              </w:rPr>
            </w:pPr>
            <w:r>
              <w:rPr>
                <w:rFonts w:eastAsia="仿宋_GB2312" w:cs="Times New Roman"/>
                <w:bCs/>
                <w:color w:val="000000"/>
                <w:sz w:val="28"/>
                <w:szCs w:val="28"/>
              </w:rPr>
              <w:t>工矿商贸就业人员十万人生产事故死亡率</w:t>
            </w:r>
          </w:p>
        </w:tc>
        <w:tc>
          <w:tcPr>
            <w:tcW w:w="2183" w:type="dxa"/>
            <w:tcBorders>
              <w:top w:val="single" w:color="auto" w:sz="4" w:space="0"/>
              <w:left w:val="single" w:color="auto" w:sz="4" w:space="0"/>
              <w:bottom w:val="single" w:color="auto" w:sz="4" w:space="0"/>
              <w:right w:val="single" w:color="auto" w:sz="4" w:space="0"/>
            </w:tcBorders>
            <w:vAlign w:val="center"/>
          </w:tcPr>
          <w:p>
            <w:pPr>
              <w:pStyle w:val="21"/>
              <w:widowControl w:val="0"/>
              <w:adjustRightInd w:val="0"/>
              <w:snapToGrid w:val="0"/>
              <w:spacing w:line="560" w:lineRule="exact"/>
              <w:ind w:firstLine="560"/>
              <w:jc w:val="both"/>
              <w:rPr>
                <w:rFonts w:eastAsia="仿宋_GB2312" w:cs="Times New Roman"/>
                <w:bCs/>
                <w:color w:val="000000"/>
                <w:sz w:val="28"/>
                <w:szCs w:val="28"/>
              </w:rPr>
            </w:pPr>
            <w:r>
              <w:rPr>
                <w:rFonts w:eastAsia="仿宋_GB2312" w:cs="Times New Roman"/>
                <w:bCs/>
                <w:color w:val="000000"/>
                <w:sz w:val="28"/>
                <w:szCs w:val="28"/>
              </w:rPr>
              <w:t>≤1</w:t>
            </w:r>
            <w:r>
              <w:rPr>
                <w:rFonts w:hint="eastAsia" w:eastAsia="仿宋_GB2312" w:cs="Times New Roman"/>
                <w:bCs/>
                <w:color w:val="000000"/>
                <w:sz w:val="28"/>
                <w:szCs w:val="28"/>
              </w:rPr>
              <w:t>.</w:t>
            </w:r>
            <w:r>
              <w:rPr>
                <w:rFonts w:eastAsia="仿宋_GB2312" w:cs="Times New Roman"/>
                <w:bCs/>
                <w:color w:val="000000"/>
                <w:sz w:val="28"/>
                <w:szCs w:val="28"/>
              </w:rPr>
              <w:t>48</w:t>
            </w:r>
          </w:p>
        </w:tc>
        <w:tc>
          <w:tcPr>
            <w:tcW w:w="1300" w:type="dxa"/>
            <w:gridSpan w:val="2"/>
            <w:tcBorders>
              <w:top w:val="single" w:color="auto" w:sz="4" w:space="0"/>
              <w:left w:val="single" w:color="auto" w:sz="4" w:space="0"/>
              <w:bottom w:val="single" w:color="auto" w:sz="4" w:space="0"/>
              <w:right w:val="single" w:color="auto" w:sz="4" w:space="0"/>
            </w:tcBorders>
            <w:vAlign w:val="center"/>
          </w:tcPr>
          <w:p>
            <w:pPr>
              <w:pStyle w:val="21"/>
              <w:widowControl w:val="0"/>
              <w:adjustRightInd w:val="0"/>
              <w:snapToGrid w:val="0"/>
              <w:spacing w:line="560" w:lineRule="exact"/>
              <w:jc w:val="both"/>
              <w:rPr>
                <w:rFonts w:eastAsia="仿宋_GB2312" w:cs="Times New Roman"/>
                <w:bCs/>
                <w:color w:val="000000"/>
                <w:sz w:val="28"/>
                <w:szCs w:val="28"/>
              </w:rPr>
            </w:pPr>
            <w:r>
              <w:rPr>
                <w:rFonts w:eastAsia="仿宋_GB2312" w:cs="Times New Roman"/>
                <w:bCs/>
                <w:color w:val="000000"/>
                <w:sz w:val="28"/>
                <w:szCs w:val="2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613" w:type="dxa"/>
            <w:gridSpan w:val="5"/>
            <w:tcBorders>
              <w:top w:val="single" w:color="auto" w:sz="4" w:space="0"/>
              <w:left w:val="single" w:color="auto" w:sz="4" w:space="0"/>
              <w:bottom w:val="single" w:color="auto" w:sz="4" w:space="0"/>
              <w:right w:val="single" w:color="auto" w:sz="4" w:space="0"/>
            </w:tcBorders>
            <w:vAlign w:val="center"/>
          </w:tcPr>
          <w:p>
            <w:pPr>
              <w:pStyle w:val="21"/>
              <w:widowControl w:val="0"/>
              <w:adjustRightInd w:val="0"/>
              <w:snapToGrid w:val="0"/>
              <w:spacing w:line="560" w:lineRule="exact"/>
              <w:ind w:firstLine="560" w:firstLineChars="200"/>
              <w:jc w:val="both"/>
              <w:rPr>
                <w:rFonts w:eastAsia="仿宋_GB2312" w:cs="Times New Roman"/>
                <w:bCs/>
                <w:color w:val="000000"/>
                <w:sz w:val="28"/>
                <w:szCs w:val="28"/>
              </w:rPr>
            </w:pPr>
            <w:r>
              <w:rPr>
                <w:rFonts w:eastAsia="仿宋_GB2312" w:cs="Times New Roman"/>
                <w:bCs/>
                <w:color w:val="000000"/>
                <w:sz w:val="28"/>
                <w:szCs w:val="28"/>
              </w:rPr>
              <w:t>灾害防治类指标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eastAsia="仿宋_GB2312"/>
                <w:color w:val="000000"/>
                <w:sz w:val="28"/>
                <w:szCs w:val="28"/>
              </w:rPr>
            </w:pPr>
            <w:r>
              <w:rPr>
                <w:rFonts w:eastAsia="仿宋_GB2312"/>
                <w:color w:val="000000"/>
                <w:sz w:val="28"/>
                <w:szCs w:val="28"/>
              </w:rPr>
              <w:t>3</w:t>
            </w:r>
          </w:p>
        </w:tc>
        <w:tc>
          <w:tcPr>
            <w:tcW w:w="4252" w:type="dxa"/>
            <w:tcBorders>
              <w:top w:val="single" w:color="auto" w:sz="4" w:space="0"/>
              <w:left w:val="single" w:color="auto" w:sz="4" w:space="0"/>
              <w:bottom w:val="single" w:color="auto" w:sz="4" w:space="0"/>
              <w:right w:val="single" w:color="auto" w:sz="4" w:space="0"/>
            </w:tcBorders>
            <w:vAlign w:val="center"/>
          </w:tcPr>
          <w:p>
            <w:pPr>
              <w:pStyle w:val="21"/>
              <w:widowControl w:val="0"/>
              <w:adjustRightInd w:val="0"/>
              <w:snapToGrid w:val="0"/>
              <w:spacing w:line="560" w:lineRule="exact"/>
              <w:jc w:val="both"/>
              <w:rPr>
                <w:rFonts w:eastAsia="仿宋_GB2312" w:cs="Times New Roman"/>
                <w:bCs/>
                <w:color w:val="000000"/>
                <w:sz w:val="28"/>
                <w:szCs w:val="28"/>
              </w:rPr>
            </w:pPr>
            <w:r>
              <w:rPr>
                <w:rFonts w:eastAsia="仿宋_GB2312" w:cs="Times New Roman"/>
                <w:bCs/>
                <w:color w:val="000000"/>
                <w:sz w:val="28"/>
                <w:szCs w:val="28"/>
              </w:rPr>
              <w:t>年均因自然灾害直接经济损失占全区生产总值的比例</w:t>
            </w:r>
          </w:p>
        </w:tc>
        <w:tc>
          <w:tcPr>
            <w:tcW w:w="2183" w:type="dxa"/>
            <w:tcBorders>
              <w:top w:val="single" w:color="auto" w:sz="4" w:space="0"/>
              <w:left w:val="single" w:color="auto" w:sz="4" w:space="0"/>
              <w:bottom w:val="single" w:color="auto" w:sz="4" w:space="0"/>
              <w:right w:val="single" w:color="auto" w:sz="4" w:space="0"/>
            </w:tcBorders>
            <w:vAlign w:val="center"/>
          </w:tcPr>
          <w:p>
            <w:pPr>
              <w:pStyle w:val="21"/>
              <w:widowControl w:val="0"/>
              <w:adjustRightInd w:val="0"/>
              <w:snapToGrid w:val="0"/>
              <w:spacing w:line="560" w:lineRule="exact"/>
              <w:ind w:firstLine="560"/>
              <w:jc w:val="both"/>
              <w:rPr>
                <w:rFonts w:eastAsia="仿宋_GB2312" w:cs="Times New Roman"/>
                <w:bCs/>
                <w:color w:val="000000"/>
                <w:sz w:val="28"/>
                <w:szCs w:val="28"/>
              </w:rPr>
            </w:pPr>
            <w:r>
              <w:rPr>
                <w:rFonts w:eastAsia="仿宋_GB2312" w:cs="Times New Roman"/>
                <w:bCs/>
                <w:color w:val="000000"/>
                <w:sz w:val="28"/>
                <w:szCs w:val="28"/>
              </w:rPr>
              <w:t>&lt;1%</w:t>
            </w:r>
          </w:p>
        </w:tc>
        <w:tc>
          <w:tcPr>
            <w:tcW w:w="1300" w:type="dxa"/>
            <w:gridSpan w:val="2"/>
            <w:tcBorders>
              <w:top w:val="single" w:color="auto" w:sz="4" w:space="0"/>
              <w:left w:val="single" w:color="auto" w:sz="4" w:space="0"/>
              <w:bottom w:val="single" w:color="auto" w:sz="4" w:space="0"/>
              <w:right w:val="single" w:color="auto" w:sz="4" w:space="0"/>
            </w:tcBorders>
            <w:vAlign w:val="center"/>
          </w:tcPr>
          <w:p>
            <w:pPr>
              <w:pStyle w:val="21"/>
              <w:widowControl w:val="0"/>
              <w:adjustRightInd w:val="0"/>
              <w:snapToGrid w:val="0"/>
              <w:spacing w:line="560" w:lineRule="exact"/>
              <w:jc w:val="both"/>
              <w:rPr>
                <w:rFonts w:eastAsia="仿宋_GB2312" w:cs="Times New Roman"/>
                <w:bCs/>
                <w:color w:val="000000"/>
                <w:sz w:val="28"/>
                <w:szCs w:val="28"/>
              </w:rPr>
            </w:pPr>
            <w:r>
              <w:rPr>
                <w:rFonts w:eastAsia="仿宋_GB2312" w:cs="Times New Roman"/>
                <w:bCs/>
                <w:color w:val="000000"/>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eastAsia="仿宋_GB2312"/>
                <w:color w:val="000000"/>
                <w:sz w:val="28"/>
                <w:szCs w:val="28"/>
              </w:rPr>
            </w:pPr>
            <w:r>
              <w:rPr>
                <w:rFonts w:eastAsia="仿宋_GB2312"/>
                <w:color w:val="000000"/>
                <w:sz w:val="28"/>
                <w:szCs w:val="28"/>
              </w:rPr>
              <w:t>4</w:t>
            </w:r>
          </w:p>
        </w:tc>
        <w:tc>
          <w:tcPr>
            <w:tcW w:w="4252" w:type="dxa"/>
            <w:tcBorders>
              <w:top w:val="single" w:color="auto" w:sz="4" w:space="0"/>
              <w:left w:val="single" w:color="auto" w:sz="4" w:space="0"/>
              <w:bottom w:val="single" w:color="auto" w:sz="4" w:space="0"/>
              <w:right w:val="single" w:color="auto" w:sz="4" w:space="0"/>
            </w:tcBorders>
            <w:vAlign w:val="center"/>
          </w:tcPr>
          <w:p>
            <w:pPr>
              <w:pStyle w:val="21"/>
              <w:widowControl w:val="0"/>
              <w:adjustRightInd w:val="0"/>
              <w:snapToGrid w:val="0"/>
              <w:spacing w:line="560" w:lineRule="exact"/>
              <w:jc w:val="both"/>
              <w:rPr>
                <w:rFonts w:eastAsia="仿宋_GB2312" w:cs="Times New Roman"/>
                <w:bCs/>
                <w:color w:val="000000"/>
                <w:sz w:val="28"/>
                <w:szCs w:val="28"/>
              </w:rPr>
            </w:pPr>
            <w:r>
              <w:rPr>
                <w:rFonts w:eastAsia="仿宋_GB2312" w:cs="Times New Roman"/>
                <w:bCs/>
                <w:color w:val="000000"/>
                <w:sz w:val="28"/>
                <w:szCs w:val="28"/>
              </w:rPr>
              <w:t>年均每百万人口因自然灾害死亡率</w:t>
            </w:r>
          </w:p>
        </w:tc>
        <w:tc>
          <w:tcPr>
            <w:tcW w:w="2183" w:type="dxa"/>
            <w:tcBorders>
              <w:top w:val="single" w:color="auto" w:sz="4" w:space="0"/>
              <w:left w:val="single" w:color="auto" w:sz="4" w:space="0"/>
              <w:bottom w:val="single" w:color="auto" w:sz="4" w:space="0"/>
              <w:right w:val="single" w:color="auto" w:sz="4" w:space="0"/>
            </w:tcBorders>
            <w:vAlign w:val="center"/>
          </w:tcPr>
          <w:p>
            <w:pPr>
              <w:pStyle w:val="21"/>
              <w:widowControl w:val="0"/>
              <w:adjustRightInd w:val="0"/>
              <w:snapToGrid w:val="0"/>
              <w:spacing w:line="560" w:lineRule="exact"/>
              <w:ind w:firstLine="560"/>
              <w:jc w:val="both"/>
              <w:rPr>
                <w:rFonts w:eastAsia="仿宋_GB2312" w:cs="Times New Roman"/>
                <w:bCs/>
                <w:color w:val="000000"/>
                <w:sz w:val="28"/>
                <w:szCs w:val="28"/>
              </w:rPr>
            </w:pPr>
            <w:r>
              <w:rPr>
                <w:rFonts w:eastAsia="仿宋_GB2312" w:cs="Times New Roman"/>
                <w:bCs/>
                <w:color w:val="000000"/>
                <w:sz w:val="28"/>
                <w:szCs w:val="28"/>
              </w:rPr>
              <w:t>&lt;1</w:t>
            </w:r>
          </w:p>
        </w:tc>
        <w:tc>
          <w:tcPr>
            <w:tcW w:w="1300" w:type="dxa"/>
            <w:gridSpan w:val="2"/>
            <w:tcBorders>
              <w:top w:val="single" w:color="auto" w:sz="4" w:space="0"/>
              <w:left w:val="single" w:color="auto" w:sz="4" w:space="0"/>
              <w:bottom w:val="single" w:color="auto" w:sz="4" w:space="0"/>
              <w:right w:val="single" w:color="auto" w:sz="4" w:space="0"/>
            </w:tcBorders>
            <w:vAlign w:val="center"/>
          </w:tcPr>
          <w:p>
            <w:pPr>
              <w:pStyle w:val="21"/>
              <w:widowControl w:val="0"/>
              <w:adjustRightInd w:val="0"/>
              <w:snapToGrid w:val="0"/>
              <w:spacing w:line="560" w:lineRule="exact"/>
              <w:jc w:val="both"/>
              <w:rPr>
                <w:rFonts w:eastAsia="仿宋_GB2312" w:cs="Times New Roman"/>
                <w:bCs/>
                <w:color w:val="000000"/>
                <w:sz w:val="28"/>
                <w:szCs w:val="28"/>
              </w:rPr>
            </w:pPr>
            <w:r>
              <w:rPr>
                <w:rFonts w:eastAsia="仿宋_GB2312" w:cs="Times New Roman"/>
                <w:bCs/>
                <w:color w:val="000000"/>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eastAsia="仿宋_GB2312"/>
                <w:color w:val="000000"/>
                <w:sz w:val="28"/>
                <w:szCs w:val="28"/>
              </w:rPr>
            </w:pPr>
            <w:r>
              <w:rPr>
                <w:rFonts w:eastAsia="仿宋_GB2312"/>
                <w:color w:val="000000"/>
                <w:sz w:val="28"/>
                <w:szCs w:val="28"/>
              </w:rPr>
              <w:t>5</w:t>
            </w:r>
          </w:p>
        </w:tc>
        <w:tc>
          <w:tcPr>
            <w:tcW w:w="4252" w:type="dxa"/>
            <w:tcBorders>
              <w:top w:val="single" w:color="auto" w:sz="4" w:space="0"/>
              <w:left w:val="single" w:color="auto" w:sz="4" w:space="0"/>
              <w:bottom w:val="single" w:color="auto" w:sz="4" w:space="0"/>
              <w:right w:val="single" w:color="auto" w:sz="4" w:space="0"/>
            </w:tcBorders>
            <w:vAlign w:val="center"/>
          </w:tcPr>
          <w:p>
            <w:pPr>
              <w:pStyle w:val="21"/>
              <w:widowControl w:val="0"/>
              <w:adjustRightInd w:val="0"/>
              <w:snapToGrid w:val="0"/>
              <w:spacing w:line="560" w:lineRule="exact"/>
              <w:jc w:val="both"/>
              <w:rPr>
                <w:rFonts w:eastAsia="仿宋_GB2312" w:cs="Times New Roman"/>
                <w:bCs/>
                <w:color w:val="000000"/>
                <w:sz w:val="28"/>
                <w:szCs w:val="28"/>
              </w:rPr>
            </w:pPr>
            <w:r>
              <w:rPr>
                <w:rFonts w:eastAsia="仿宋_GB2312" w:cs="Times New Roman"/>
                <w:bCs/>
                <w:color w:val="000000"/>
                <w:sz w:val="28"/>
                <w:szCs w:val="28"/>
              </w:rPr>
              <w:t>年均每十万人受灾人次</w:t>
            </w:r>
          </w:p>
        </w:tc>
        <w:tc>
          <w:tcPr>
            <w:tcW w:w="2183" w:type="dxa"/>
            <w:tcBorders>
              <w:top w:val="single" w:color="auto" w:sz="4" w:space="0"/>
              <w:left w:val="single" w:color="auto" w:sz="4" w:space="0"/>
              <w:bottom w:val="single" w:color="auto" w:sz="4" w:space="0"/>
              <w:right w:val="single" w:color="auto" w:sz="4" w:space="0"/>
            </w:tcBorders>
            <w:vAlign w:val="center"/>
          </w:tcPr>
          <w:p>
            <w:pPr>
              <w:pStyle w:val="21"/>
              <w:widowControl w:val="0"/>
              <w:adjustRightInd w:val="0"/>
              <w:snapToGrid w:val="0"/>
              <w:spacing w:line="560" w:lineRule="exact"/>
              <w:ind w:firstLine="560"/>
              <w:jc w:val="both"/>
              <w:rPr>
                <w:rFonts w:eastAsia="仿宋_GB2312" w:cs="Times New Roman"/>
                <w:bCs/>
                <w:color w:val="000000"/>
                <w:sz w:val="28"/>
                <w:szCs w:val="28"/>
              </w:rPr>
            </w:pPr>
            <w:r>
              <w:rPr>
                <w:rFonts w:eastAsia="仿宋_GB2312" w:cs="Times New Roman"/>
                <w:bCs/>
                <w:color w:val="000000"/>
                <w:sz w:val="28"/>
                <w:szCs w:val="28"/>
              </w:rPr>
              <w:t>&lt;15000</w:t>
            </w:r>
          </w:p>
        </w:tc>
        <w:tc>
          <w:tcPr>
            <w:tcW w:w="1300" w:type="dxa"/>
            <w:gridSpan w:val="2"/>
            <w:tcBorders>
              <w:top w:val="single" w:color="auto" w:sz="4" w:space="0"/>
              <w:left w:val="single" w:color="auto" w:sz="4" w:space="0"/>
              <w:bottom w:val="single" w:color="auto" w:sz="4" w:space="0"/>
              <w:right w:val="single" w:color="auto" w:sz="4" w:space="0"/>
            </w:tcBorders>
            <w:vAlign w:val="center"/>
          </w:tcPr>
          <w:p>
            <w:pPr>
              <w:pStyle w:val="21"/>
              <w:widowControl w:val="0"/>
              <w:adjustRightInd w:val="0"/>
              <w:snapToGrid w:val="0"/>
              <w:spacing w:line="560" w:lineRule="exact"/>
              <w:jc w:val="both"/>
              <w:rPr>
                <w:rFonts w:eastAsia="仿宋_GB2312" w:cs="Times New Roman"/>
                <w:bCs/>
                <w:color w:val="000000"/>
                <w:sz w:val="28"/>
                <w:szCs w:val="28"/>
              </w:rPr>
            </w:pPr>
            <w:r>
              <w:rPr>
                <w:rFonts w:eastAsia="仿宋_GB2312" w:cs="Times New Roman"/>
                <w:bCs/>
                <w:color w:val="000000"/>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613" w:type="dxa"/>
            <w:gridSpan w:val="5"/>
            <w:tcBorders>
              <w:top w:val="single" w:color="auto" w:sz="4" w:space="0"/>
              <w:left w:val="single" w:color="auto" w:sz="4" w:space="0"/>
              <w:bottom w:val="single" w:color="000000" w:sz="4" w:space="0"/>
              <w:right w:val="single" w:color="auto" w:sz="4" w:space="0"/>
            </w:tcBorders>
            <w:vAlign w:val="center"/>
          </w:tcPr>
          <w:p>
            <w:pPr>
              <w:pStyle w:val="21"/>
              <w:widowControl w:val="0"/>
              <w:adjustRightInd w:val="0"/>
              <w:snapToGrid w:val="0"/>
              <w:spacing w:line="560" w:lineRule="exact"/>
              <w:rPr>
                <w:rFonts w:eastAsia="仿宋_GB2312" w:cs="Times New Roman"/>
                <w:bCs/>
                <w:color w:val="000000"/>
                <w:sz w:val="28"/>
                <w:szCs w:val="28"/>
              </w:rPr>
            </w:pPr>
            <w:r>
              <w:rPr>
                <w:rFonts w:eastAsia="仿宋_GB2312" w:cs="Times New Roman"/>
                <w:bCs/>
                <w:color w:val="000000"/>
                <w:sz w:val="28"/>
                <w:szCs w:val="28"/>
              </w:rPr>
              <w:t>应急能力建设类指标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78" w:type="dxa"/>
            <w:tcBorders>
              <w:top w:val="single" w:color="000000" w:sz="4" w:space="0"/>
              <w:left w:val="single" w:color="000000" w:sz="4" w:space="0"/>
              <w:bottom w:val="nil"/>
              <w:right w:val="single" w:color="000000" w:sz="4" w:space="0"/>
            </w:tcBorders>
            <w:vAlign w:val="center"/>
          </w:tcPr>
          <w:p>
            <w:pPr>
              <w:adjustRightInd w:val="0"/>
              <w:snapToGrid w:val="0"/>
              <w:spacing w:line="560" w:lineRule="exact"/>
              <w:jc w:val="center"/>
              <w:rPr>
                <w:rFonts w:eastAsia="仿宋_GB2312"/>
                <w:color w:val="000000"/>
                <w:sz w:val="28"/>
                <w:szCs w:val="28"/>
              </w:rPr>
            </w:pPr>
            <w:r>
              <w:rPr>
                <w:rFonts w:eastAsia="仿宋_GB2312"/>
                <w:color w:val="000000"/>
                <w:sz w:val="28"/>
                <w:szCs w:val="28"/>
              </w:rPr>
              <w:t>6</w:t>
            </w:r>
          </w:p>
        </w:tc>
        <w:tc>
          <w:tcPr>
            <w:tcW w:w="4252" w:type="dxa"/>
            <w:tcBorders>
              <w:top w:val="single" w:color="000000" w:sz="4" w:space="0"/>
              <w:left w:val="single" w:color="000000" w:sz="4" w:space="0"/>
              <w:bottom w:val="nil"/>
              <w:right w:val="single" w:color="000000" w:sz="4" w:space="0"/>
            </w:tcBorders>
            <w:vAlign w:val="center"/>
          </w:tcPr>
          <w:p>
            <w:pPr>
              <w:pStyle w:val="21"/>
              <w:widowControl w:val="0"/>
              <w:adjustRightInd w:val="0"/>
              <w:snapToGrid w:val="0"/>
              <w:spacing w:line="560" w:lineRule="exact"/>
              <w:jc w:val="both"/>
              <w:rPr>
                <w:rFonts w:eastAsia="仿宋_GB2312" w:cs="Times New Roman"/>
                <w:bCs/>
                <w:color w:val="000000"/>
                <w:sz w:val="28"/>
                <w:szCs w:val="28"/>
              </w:rPr>
            </w:pPr>
            <w:r>
              <w:rPr>
                <w:rFonts w:eastAsia="仿宋_GB2312" w:cs="Times New Roman"/>
                <w:color w:val="000000"/>
                <w:sz w:val="28"/>
                <w:szCs w:val="28"/>
              </w:rPr>
              <w:t>区级应急管理部门装备达标率</w:t>
            </w:r>
          </w:p>
        </w:tc>
        <w:tc>
          <w:tcPr>
            <w:tcW w:w="2410" w:type="dxa"/>
            <w:gridSpan w:val="2"/>
            <w:tcBorders>
              <w:top w:val="single" w:color="000000" w:sz="4" w:space="0"/>
              <w:left w:val="single" w:color="000000" w:sz="4" w:space="0"/>
              <w:bottom w:val="nil"/>
              <w:right w:val="single" w:color="000000" w:sz="4" w:space="0"/>
            </w:tcBorders>
            <w:vAlign w:val="center"/>
          </w:tcPr>
          <w:p>
            <w:pPr>
              <w:pStyle w:val="21"/>
              <w:widowControl w:val="0"/>
              <w:adjustRightInd w:val="0"/>
              <w:snapToGrid w:val="0"/>
              <w:spacing w:line="560" w:lineRule="exact"/>
              <w:rPr>
                <w:rFonts w:eastAsia="仿宋_GB2312" w:cs="Times New Roman"/>
                <w:bCs/>
                <w:color w:val="000000"/>
                <w:sz w:val="28"/>
                <w:szCs w:val="28"/>
              </w:rPr>
            </w:pPr>
            <w:r>
              <w:rPr>
                <w:rFonts w:eastAsia="仿宋_GB2312" w:cs="Times New Roman"/>
                <w:color w:val="000000"/>
                <w:sz w:val="28"/>
                <w:szCs w:val="28"/>
              </w:rPr>
              <w:t>达到80%</w:t>
            </w:r>
          </w:p>
        </w:tc>
        <w:tc>
          <w:tcPr>
            <w:tcW w:w="1073" w:type="dxa"/>
            <w:tcBorders>
              <w:top w:val="single" w:color="000000" w:sz="4" w:space="0"/>
              <w:left w:val="single" w:color="000000" w:sz="4" w:space="0"/>
              <w:bottom w:val="nil"/>
              <w:right w:val="single" w:color="000000" w:sz="4" w:space="0"/>
            </w:tcBorders>
            <w:vAlign w:val="center"/>
          </w:tcPr>
          <w:p>
            <w:pPr>
              <w:pStyle w:val="21"/>
              <w:widowControl w:val="0"/>
              <w:adjustRightInd w:val="0"/>
              <w:snapToGrid w:val="0"/>
              <w:spacing w:line="560" w:lineRule="exact"/>
              <w:jc w:val="both"/>
              <w:rPr>
                <w:rFonts w:eastAsia="仿宋_GB2312" w:cs="Times New Roman"/>
                <w:bCs/>
                <w:color w:val="000000"/>
                <w:sz w:val="28"/>
                <w:szCs w:val="28"/>
              </w:rPr>
            </w:pPr>
            <w:r>
              <w:rPr>
                <w:rFonts w:eastAsia="仿宋_GB2312" w:cs="Times New Roman"/>
                <w:color w:val="000000"/>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60" w:lineRule="exact"/>
              <w:jc w:val="center"/>
              <w:rPr>
                <w:rFonts w:eastAsia="仿宋_GB2312"/>
                <w:color w:val="000000"/>
                <w:sz w:val="28"/>
                <w:szCs w:val="28"/>
              </w:rPr>
            </w:pPr>
            <w:r>
              <w:rPr>
                <w:rFonts w:eastAsia="仿宋_GB2312"/>
                <w:color w:val="000000"/>
                <w:sz w:val="28"/>
                <w:szCs w:val="28"/>
              </w:rPr>
              <w:t>7</w:t>
            </w:r>
          </w:p>
        </w:tc>
        <w:tc>
          <w:tcPr>
            <w:tcW w:w="4252" w:type="dxa"/>
            <w:tcBorders>
              <w:top w:val="single" w:color="000000" w:sz="4" w:space="0"/>
              <w:left w:val="single" w:color="000000" w:sz="4" w:space="0"/>
              <w:bottom w:val="single" w:color="000000" w:sz="4" w:space="0"/>
              <w:right w:val="single" w:color="000000" w:sz="4" w:space="0"/>
            </w:tcBorders>
            <w:vAlign w:val="center"/>
          </w:tcPr>
          <w:p>
            <w:pPr>
              <w:pStyle w:val="21"/>
              <w:widowControl w:val="0"/>
              <w:adjustRightInd w:val="0"/>
              <w:snapToGrid w:val="0"/>
              <w:spacing w:line="560" w:lineRule="exact"/>
              <w:jc w:val="both"/>
              <w:rPr>
                <w:rFonts w:eastAsia="仿宋_GB2312" w:cs="Times New Roman"/>
                <w:bCs/>
                <w:color w:val="000000"/>
                <w:sz w:val="28"/>
                <w:szCs w:val="28"/>
              </w:rPr>
            </w:pPr>
            <w:r>
              <w:rPr>
                <w:rFonts w:eastAsia="仿宋_GB2312" w:cs="Times New Roman"/>
                <w:color w:val="000000"/>
                <w:sz w:val="28"/>
                <w:szCs w:val="28"/>
              </w:rPr>
              <w:t>灾害事故信息发布公众覆盖率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pStyle w:val="21"/>
              <w:widowControl w:val="0"/>
              <w:adjustRightInd w:val="0"/>
              <w:snapToGrid w:val="0"/>
              <w:spacing w:line="560" w:lineRule="exact"/>
              <w:rPr>
                <w:rFonts w:eastAsia="仿宋_GB2312" w:cs="Times New Roman"/>
                <w:bCs/>
                <w:color w:val="000000"/>
                <w:sz w:val="28"/>
                <w:szCs w:val="28"/>
              </w:rPr>
            </w:pPr>
            <w:r>
              <w:rPr>
                <w:rFonts w:eastAsia="仿宋_GB2312" w:cs="Times New Roman"/>
                <w:color w:val="000000"/>
                <w:sz w:val="28"/>
                <w:szCs w:val="28"/>
              </w:rPr>
              <w:t>达到95%</w:t>
            </w: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21"/>
              <w:widowControl w:val="0"/>
              <w:adjustRightInd w:val="0"/>
              <w:snapToGrid w:val="0"/>
              <w:spacing w:line="560" w:lineRule="exact"/>
              <w:jc w:val="both"/>
              <w:rPr>
                <w:rFonts w:eastAsia="仿宋_GB2312" w:cs="Times New Roman"/>
                <w:bCs/>
                <w:color w:val="000000"/>
                <w:sz w:val="28"/>
                <w:szCs w:val="28"/>
              </w:rPr>
            </w:pPr>
            <w:r>
              <w:rPr>
                <w:rFonts w:eastAsia="仿宋_GB2312" w:cs="Times New Roman"/>
                <w:color w:val="000000"/>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60" w:lineRule="exact"/>
              <w:jc w:val="center"/>
              <w:rPr>
                <w:rFonts w:eastAsia="仿宋_GB2312"/>
                <w:color w:val="000000"/>
                <w:sz w:val="28"/>
                <w:szCs w:val="28"/>
              </w:rPr>
            </w:pPr>
            <w:r>
              <w:rPr>
                <w:rFonts w:eastAsia="仿宋_GB2312"/>
                <w:color w:val="000000"/>
                <w:sz w:val="28"/>
                <w:szCs w:val="28"/>
              </w:rPr>
              <w:t>8</w:t>
            </w:r>
          </w:p>
        </w:tc>
        <w:tc>
          <w:tcPr>
            <w:tcW w:w="4252" w:type="dxa"/>
            <w:tcBorders>
              <w:top w:val="single" w:color="000000" w:sz="4" w:space="0"/>
              <w:left w:val="single" w:color="000000" w:sz="4" w:space="0"/>
              <w:bottom w:val="single" w:color="000000" w:sz="4" w:space="0"/>
              <w:right w:val="single" w:color="000000" w:sz="4" w:space="0"/>
            </w:tcBorders>
            <w:vAlign w:val="center"/>
          </w:tcPr>
          <w:p>
            <w:pPr>
              <w:pStyle w:val="21"/>
              <w:widowControl w:val="0"/>
              <w:adjustRightInd w:val="0"/>
              <w:snapToGrid w:val="0"/>
              <w:spacing w:line="560" w:lineRule="exact"/>
              <w:jc w:val="both"/>
              <w:rPr>
                <w:rFonts w:eastAsia="仿宋_GB2312" w:cs="Times New Roman"/>
                <w:bCs/>
                <w:color w:val="000000"/>
                <w:sz w:val="28"/>
                <w:szCs w:val="28"/>
              </w:rPr>
            </w:pPr>
            <w:r>
              <w:rPr>
                <w:rFonts w:eastAsia="仿宋_GB2312" w:cs="Times New Roman"/>
                <w:color w:val="000000"/>
                <w:sz w:val="28"/>
                <w:szCs w:val="28"/>
              </w:rPr>
              <w:t>灾害事故发生后受灾人员基本生活得到有效救助时间</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pStyle w:val="21"/>
              <w:widowControl w:val="0"/>
              <w:adjustRightInd w:val="0"/>
              <w:snapToGrid w:val="0"/>
              <w:spacing w:line="560" w:lineRule="exact"/>
              <w:rPr>
                <w:rFonts w:eastAsia="仿宋_GB2312" w:cs="Times New Roman"/>
                <w:bCs/>
                <w:color w:val="000000"/>
                <w:spacing w:val="-10"/>
                <w:sz w:val="28"/>
                <w:szCs w:val="28"/>
              </w:rPr>
            </w:pPr>
            <w:r>
              <w:rPr>
                <w:rFonts w:eastAsia="仿宋_GB2312" w:cs="Times New Roman"/>
                <w:color w:val="000000"/>
                <w:spacing w:val="-10"/>
                <w:sz w:val="28"/>
                <w:szCs w:val="28"/>
              </w:rPr>
              <w:t>缩短至10小时以内</w:t>
            </w: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21"/>
              <w:widowControl w:val="0"/>
              <w:adjustRightInd w:val="0"/>
              <w:snapToGrid w:val="0"/>
              <w:spacing w:line="560" w:lineRule="exact"/>
              <w:jc w:val="both"/>
              <w:rPr>
                <w:rFonts w:eastAsia="仿宋_GB2312" w:cs="Times New Roman"/>
                <w:bCs/>
                <w:color w:val="000000"/>
                <w:sz w:val="28"/>
                <w:szCs w:val="28"/>
              </w:rPr>
            </w:pPr>
            <w:r>
              <w:rPr>
                <w:rFonts w:eastAsia="仿宋_GB2312" w:cs="Times New Roman"/>
                <w:color w:val="000000"/>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60" w:lineRule="exact"/>
              <w:jc w:val="center"/>
              <w:rPr>
                <w:rFonts w:eastAsia="仿宋_GB2312"/>
                <w:color w:val="000000"/>
                <w:sz w:val="28"/>
                <w:szCs w:val="28"/>
              </w:rPr>
            </w:pPr>
            <w:r>
              <w:rPr>
                <w:rFonts w:eastAsia="仿宋_GB2312"/>
                <w:color w:val="000000"/>
                <w:sz w:val="28"/>
                <w:szCs w:val="28"/>
              </w:rPr>
              <w:t>9</w:t>
            </w:r>
          </w:p>
        </w:tc>
        <w:tc>
          <w:tcPr>
            <w:tcW w:w="4252" w:type="dxa"/>
            <w:tcBorders>
              <w:top w:val="single" w:color="000000" w:sz="4" w:space="0"/>
              <w:left w:val="single" w:color="000000" w:sz="4" w:space="0"/>
              <w:bottom w:val="single" w:color="000000" w:sz="4" w:space="0"/>
              <w:right w:val="single" w:color="000000" w:sz="4" w:space="0"/>
            </w:tcBorders>
            <w:vAlign w:val="center"/>
          </w:tcPr>
          <w:p>
            <w:pPr>
              <w:pStyle w:val="21"/>
              <w:widowControl w:val="0"/>
              <w:adjustRightInd w:val="0"/>
              <w:snapToGrid w:val="0"/>
              <w:spacing w:line="560" w:lineRule="exact"/>
              <w:jc w:val="both"/>
              <w:rPr>
                <w:rFonts w:eastAsia="仿宋_GB2312" w:cs="Times New Roman"/>
                <w:bCs/>
                <w:color w:val="000000"/>
                <w:sz w:val="28"/>
                <w:szCs w:val="28"/>
              </w:rPr>
            </w:pPr>
            <w:r>
              <w:rPr>
                <w:rFonts w:eastAsia="仿宋_GB2312" w:cs="Times New Roman"/>
                <w:color w:val="000000"/>
                <w:sz w:val="28"/>
                <w:szCs w:val="28"/>
              </w:rPr>
              <w:t>消防救援人员（国家综合性消防人员和政府专职消防人员）占全区人口比例</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pStyle w:val="21"/>
              <w:widowControl w:val="0"/>
              <w:adjustRightInd w:val="0"/>
              <w:snapToGrid w:val="0"/>
              <w:spacing w:line="560" w:lineRule="exact"/>
              <w:rPr>
                <w:rFonts w:eastAsia="仿宋_GB2312" w:cs="Times New Roman"/>
                <w:bCs/>
                <w:color w:val="000000"/>
                <w:sz w:val="28"/>
                <w:szCs w:val="28"/>
              </w:rPr>
            </w:pPr>
            <w:r>
              <w:rPr>
                <w:rFonts w:eastAsia="仿宋_GB2312" w:cs="Times New Roman"/>
                <w:color w:val="000000"/>
                <w:sz w:val="28"/>
                <w:szCs w:val="28"/>
              </w:rPr>
              <w:t>达到0.4‰</w:t>
            </w: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21"/>
              <w:widowControl w:val="0"/>
              <w:adjustRightInd w:val="0"/>
              <w:snapToGrid w:val="0"/>
              <w:spacing w:line="560" w:lineRule="exact"/>
              <w:jc w:val="both"/>
              <w:rPr>
                <w:rFonts w:eastAsia="仿宋_GB2312" w:cs="Times New Roman"/>
                <w:bCs/>
                <w:color w:val="000000"/>
                <w:sz w:val="28"/>
                <w:szCs w:val="28"/>
              </w:rPr>
            </w:pPr>
            <w:r>
              <w:rPr>
                <w:rFonts w:eastAsia="仿宋_GB2312" w:cs="Times New Roman"/>
                <w:color w:val="000000"/>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78" w:type="dxa"/>
            <w:tcBorders>
              <w:top w:val="single" w:color="000000" w:sz="4" w:space="0"/>
              <w:left w:val="single" w:color="000000" w:sz="4" w:space="0"/>
              <w:bottom w:val="nil"/>
              <w:right w:val="single" w:color="000000" w:sz="4" w:space="0"/>
            </w:tcBorders>
            <w:vAlign w:val="center"/>
          </w:tcPr>
          <w:p>
            <w:pPr>
              <w:adjustRightInd w:val="0"/>
              <w:snapToGrid w:val="0"/>
              <w:spacing w:line="560" w:lineRule="exact"/>
              <w:jc w:val="center"/>
              <w:rPr>
                <w:rFonts w:eastAsia="仿宋_GB2312"/>
                <w:color w:val="000000"/>
                <w:sz w:val="28"/>
                <w:szCs w:val="28"/>
              </w:rPr>
            </w:pPr>
            <w:r>
              <w:rPr>
                <w:rFonts w:eastAsia="仿宋_GB2312"/>
                <w:color w:val="000000"/>
                <w:sz w:val="28"/>
                <w:szCs w:val="28"/>
              </w:rPr>
              <w:t>10</w:t>
            </w:r>
          </w:p>
        </w:tc>
        <w:tc>
          <w:tcPr>
            <w:tcW w:w="4252" w:type="dxa"/>
            <w:tcBorders>
              <w:top w:val="single" w:color="000000" w:sz="4" w:space="0"/>
              <w:left w:val="single" w:color="000000" w:sz="4" w:space="0"/>
              <w:bottom w:val="nil"/>
              <w:right w:val="single" w:color="000000" w:sz="4" w:space="0"/>
            </w:tcBorders>
            <w:vAlign w:val="center"/>
          </w:tcPr>
          <w:p>
            <w:pPr>
              <w:pStyle w:val="21"/>
              <w:widowControl w:val="0"/>
              <w:adjustRightInd w:val="0"/>
              <w:snapToGrid w:val="0"/>
              <w:spacing w:line="560" w:lineRule="exact"/>
              <w:jc w:val="both"/>
              <w:rPr>
                <w:rFonts w:eastAsia="仿宋_GB2312" w:cs="Times New Roman"/>
                <w:bCs/>
                <w:color w:val="000000"/>
                <w:sz w:val="28"/>
                <w:szCs w:val="28"/>
              </w:rPr>
            </w:pPr>
            <w:r>
              <w:rPr>
                <w:rFonts w:eastAsia="仿宋_GB2312" w:cs="Times New Roman"/>
                <w:color w:val="000000"/>
                <w:sz w:val="28"/>
                <w:szCs w:val="28"/>
              </w:rPr>
              <w:t>区级应急管理机构专业人才占比</w:t>
            </w:r>
          </w:p>
        </w:tc>
        <w:tc>
          <w:tcPr>
            <w:tcW w:w="2410" w:type="dxa"/>
            <w:gridSpan w:val="2"/>
            <w:tcBorders>
              <w:top w:val="single" w:color="000000" w:sz="4" w:space="0"/>
              <w:left w:val="single" w:color="000000" w:sz="4" w:space="0"/>
              <w:bottom w:val="nil"/>
              <w:right w:val="single" w:color="000000" w:sz="4" w:space="0"/>
            </w:tcBorders>
            <w:vAlign w:val="center"/>
          </w:tcPr>
          <w:p>
            <w:pPr>
              <w:pStyle w:val="21"/>
              <w:widowControl w:val="0"/>
              <w:adjustRightInd w:val="0"/>
              <w:snapToGrid w:val="0"/>
              <w:spacing w:line="560" w:lineRule="exact"/>
              <w:rPr>
                <w:rFonts w:eastAsia="仿宋_GB2312" w:cs="Times New Roman"/>
                <w:bCs/>
                <w:color w:val="000000"/>
                <w:sz w:val="28"/>
                <w:szCs w:val="28"/>
              </w:rPr>
            </w:pPr>
            <w:r>
              <w:rPr>
                <w:rFonts w:eastAsia="仿宋_GB2312" w:cs="Times New Roman"/>
                <w:color w:val="000000"/>
                <w:sz w:val="28"/>
                <w:szCs w:val="28"/>
              </w:rPr>
              <w:t>超过60%</w:t>
            </w:r>
          </w:p>
        </w:tc>
        <w:tc>
          <w:tcPr>
            <w:tcW w:w="1073" w:type="dxa"/>
            <w:tcBorders>
              <w:top w:val="single" w:color="000000" w:sz="4" w:space="0"/>
              <w:left w:val="single" w:color="000000" w:sz="4" w:space="0"/>
              <w:bottom w:val="nil"/>
              <w:right w:val="single" w:color="000000" w:sz="4" w:space="0"/>
            </w:tcBorders>
            <w:vAlign w:val="center"/>
          </w:tcPr>
          <w:p>
            <w:pPr>
              <w:pStyle w:val="21"/>
              <w:widowControl w:val="0"/>
              <w:adjustRightInd w:val="0"/>
              <w:snapToGrid w:val="0"/>
              <w:spacing w:line="560" w:lineRule="exact"/>
              <w:jc w:val="both"/>
              <w:rPr>
                <w:rFonts w:eastAsia="仿宋_GB2312" w:cs="Times New Roman"/>
                <w:bCs/>
                <w:color w:val="000000"/>
                <w:sz w:val="28"/>
                <w:szCs w:val="28"/>
              </w:rPr>
            </w:pPr>
            <w:r>
              <w:rPr>
                <w:rFonts w:eastAsia="仿宋_GB2312" w:cs="Times New Roman"/>
                <w:color w:val="000000"/>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eastAsia="仿宋_GB2312"/>
                <w:color w:val="000000"/>
                <w:sz w:val="28"/>
                <w:szCs w:val="28"/>
              </w:rPr>
            </w:pPr>
            <w:r>
              <w:rPr>
                <w:rFonts w:eastAsia="仿宋_GB2312"/>
                <w:color w:val="000000"/>
                <w:sz w:val="28"/>
                <w:szCs w:val="28"/>
              </w:rPr>
              <w:t>11</w:t>
            </w:r>
          </w:p>
        </w:tc>
        <w:tc>
          <w:tcPr>
            <w:tcW w:w="4252" w:type="dxa"/>
            <w:tcBorders>
              <w:top w:val="single" w:color="auto" w:sz="4" w:space="0"/>
              <w:left w:val="single" w:color="auto" w:sz="4" w:space="0"/>
              <w:bottom w:val="single" w:color="auto" w:sz="4" w:space="0"/>
              <w:right w:val="single" w:color="auto" w:sz="4" w:space="0"/>
            </w:tcBorders>
            <w:vAlign w:val="center"/>
          </w:tcPr>
          <w:p>
            <w:pPr>
              <w:pStyle w:val="21"/>
              <w:widowControl w:val="0"/>
              <w:adjustRightInd w:val="0"/>
              <w:snapToGrid w:val="0"/>
              <w:spacing w:line="560" w:lineRule="exact"/>
              <w:jc w:val="both"/>
              <w:rPr>
                <w:rFonts w:eastAsia="仿宋_GB2312" w:cs="Times New Roman"/>
                <w:bCs/>
                <w:color w:val="000000"/>
                <w:sz w:val="28"/>
                <w:szCs w:val="28"/>
              </w:rPr>
            </w:pPr>
            <w:r>
              <w:rPr>
                <w:rFonts w:eastAsia="仿宋_GB2312" w:cs="Times New Roman"/>
                <w:color w:val="000000"/>
                <w:sz w:val="28"/>
                <w:szCs w:val="28"/>
              </w:rPr>
              <w:t>全国综合减灾示范社区</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pStyle w:val="21"/>
              <w:widowControl w:val="0"/>
              <w:adjustRightInd w:val="0"/>
              <w:snapToGrid w:val="0"/>
              <w:spacing w:line="560" w:lineRule="exact"/>
              <w:rPr>
                <w:rFonts w:eastAsia="仿宋_GB2312" w:cs="Times New Roman"/>
                <w:bCs/>
                <w:color w:val="000000"/>
                <w:sz w:val="28"/>
                <w:szCs w:val="28"/>
              </w:rPr>
            </w:pPr>
            <w:r>
              <w:rPr>
                <w:rFonts w:eastAsia="仿宋_GB2312" w:cs="Times New Roman"/>
                <w:color w:val="000000"/>
                <w:sz w:val="28"/>
                <w:szCs w:val="28"/>
              </w:rPr>
              <w:t>新增7个</w:t>
            </w:r>
          </w:p>
        </w:tc>
        <w:tc>
          <w:tcPr>
            <w:tcW w:w="1073" w:type="dxa"/>
            <w:tcBorders>
              <w:top w:val="single" w:color="auto" w:sz="4" w:space="0"/>
              <w:left w:val="single" w:color="auto" w:sz="4" w:space="0"/>
              <w:bottom w:val="single" w:color="auto" w:sz="4" w:space="0"/>
              <w:right w:val="single" w:color="auto" w:sz="4" w:space="0"/>
            </w:tcBorders>
            <w:vAlign w:val="center"/>
          </w:tcPr>
          <w:p>
            <w:pPr>
              <w:pStyle w:val="21"/>
              <w:widowControl w:val="0"/>
              <w:adjustRightInd w:val="0"/>
              <w:snapToGrid w:val="0"/>
              <w:spacing w:line="560" w:lineRule="exact"/>
              <w:jc w:val="both"/>
              <w:rPr>
                <w:rFonts w:eastAsia="仿宋_GB2312" w:cs="Times New Roman"/>
                <w:bCs/>
                <w:color w:val="000000"/>
                <w:sz w:val="28"/>
                <w:szCs w:val="28"/>
              </w:rPr>
            </w:pPr>
            <w:r>
              <w:rPr>
                <w:rFonts w:eastAsia="仿宋_GB2312" w:cs="Times New Roman"/>
                <w:color w:val="000000"/>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eastAsia="仿宋_GB2312"/>
                <w:color w:val="000000"/>
                <w:sz w:val="28"/>
                <w:szCs w:val="28"/>
              </w:rPr>
            </w:pPr>
            <w:r>
              <w:rPr>
                <w:rFonts w:eastAsia="仿宋_GB2312"/>
                <w:color w:val="000000"/>
                <w:sz w:val="28"/>
                <w:szCs w:val="28"/>
              </w:rPr>
              <w:t>12</w:t>
            </w:r>
          </w:p>
        </w:tc>
        <w:tc>
          <w:tcPr>
            <w:tcW w:w="4252" w:type="dxa"/>
            <w:tcBorders>
              <w:top w:val="single" w:color="auto" w:sz="4" w:space="0"/>
              <w:left w:val="single" w:color="auto" w:sz="4" w:space="0"/>
              <w:bottom w:val="single" w:color="auto" w:sz="4" w:space="0"/>
              <w:right w:val="single" w:color="auto" w:sz="4" w:space="0"/>
            </w:tcBorders>
            <w:vAlign w:val="center"/>
          </w:tcPr>
          <w:p>
            <w:pPr>
              <w:pStyle w:val="21"/>
              <w:widowControl w:val="0"/>
              <w:adjustRightInd w:val="0"/>
              <w:snapToGrid w:val="0"/>
              <w:spacing w:line="560" w:lineRule="exact"/>
              <w:jc w:val="both"/>
              <w:rPr>
                <w:rFonts w:eastAsia="仿宋_GB2312" w:cs="Times New Roman"/>
                <w:bCs/>
                <w:color w:val="000000"/>
                <w:sz w:val="28"/>
                <w:szCs w:val="28"/>
              </w:rPr>
            </w:pPr>
            <w:r>
              <w:rPr>
                <w:rFonts w:eastAsia="仿宋_GB2312" w:cs="Times New Roman"/>
                <w:color w:val="000000"/>
                <w:sz w:val="28"/>
                <w:szCs w:val="28"/>
              </w:rPr>
              <w:t>重点行业规模以上企业新增从业人员安全技能培训率</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pStyle w:val="21"/>
              <w:widowControl w:val="0"/>
              <w:adjustRightInd w:val="0"/>
              <w:snapToGrid w:val="0"/>
              <w:spacing w:line="560" w:lineRule="exact"/>
              <w:rPr>
                <w:rFonts w:eastAsia="仿宋_GB2312" w:cs="Times New Roman"/>
                <w:bCs/>
                <w:color w:val="000000"/>
                <w:sz w:val="28"/>
                <w:szCs w:val="28"/>
              </w:rPr>
            </w:pPr>
            <w:r>
              <w:rPr>
                <w:rFonts w:eastAsia="仿宋_GB2312" w:cs="Times New Roman"/>
                <w:color w:val="000000"/>
                <w:sz w:val="28"/>
                <w:szCs w:val="28"/>
              </w:rPr>
              <w:t>达到100%</w:t>
            </w:r>
          </w:p>
        </w:tc>
        <w:tc>
          <w:tcPr>
            <w:tcW w:w="1073" w:type="dxa"/>
            <w:tcBorders>
              <w:top w:val="single" w:color="auto" w:sz="4" w:space="0"/>
              <w:left w:val="single" w:color="auto" w:sz="4" w:space="0"/>
              <w:bottom w:val="single" w:color="auto" w:sz="4" w:space="0"/>
              <w:right w:val="single" w:color="auto" w:sz="4" w:space="0"/>
            </w:tcBorders>
            <w:vAlign w:val="center"/>
          </w:tcPr>
          <w:p>
            <w:pPr>
              <w:pStyle w:val="21"/>
              <w:widowControl w:val="0"/>
              <w:adjustRightInd w:val="0"/>
              <w:snapToGrid w:val="0"/>
              <w:spacing w:line="560" w:lineRule="exact"/>
              <w:jc w:val="both"/>
              <w:rPr>
                <w:rFonts w:eastAsia="仿宋_GB2312" w:cs="Times New Roman"/>
                <w:bCs/>
                <w:color w:val="000000"/>
                <w:sz w:val="28"/>
                <w:szCs w:val="28"/>
              </w:rPr>
            </w:pPr>
            <w:r>
              <w:rPr>
                <w:rFonts w:eastAsia="仿宋_GB2312" w:cs="Times New Roman"/>
                <w:color w:val="000000"/>
                <w:sz w:val="28"/>
                <w:szCs w:val="28"/>
              </w:rPr>
              <w:t>预期性</w:t>
            </w:r>
          </w:p>
        </w:tc>
      </w:tr>
    </w:tbl>
    <w:p>
      <w:pPr>
        <w:adjustRightInd w:val="0"/>
        <w:snapToGrid w:val="0"/>
        <w:spacing w:line="560" w:lineRule="exact"/>
        <w:ind w:firstLine="640" w:firstLineChars="200"/>
        <w:rPr>
          <w:rFonts w:eastAsia="黑体"/>
          <w:bCs/>
          <w:color w:val="000000"/>
          <w:sz w:val="32"/>
          <w:szCs w:val="32"/>
        </w:rPr>
      </w:pPr>
      <w:r>
        <w:rPr>
          <w:rFonts w:eastAsia="黑体"/>
          <w:bCs/>
          <w:color w:val="000000"/>
          <w:sz w:val="32"/>
          <w:szCs w:val="32"/>
        </w:rPr>
        <w:t>三、主要任务</w:t>
      </w:r>
      <w:bookmarkEnd w:id="11"/>
      <w:bookmarkEnd w:id="12"/>
      <w:bookmarkEnd w:id="13"/>
      <w:bookmarkEnd w:id="14"/>
      <w:bookmarkEnd w:id="15"/>
    </w:p>
    <w:p>
      <w:pPr>
        <w:pStyle w:val="3"/>
        <w:keepNext w:val="0"/>
        <w:keepLines w:val="0"/>
        <w:adjustRightInd w:val="0"/>
        <w:snapToGrid w:val="0"/>
        <w:spacing w:before="0" w:after="0" w:line="560" w:lineRule="exact"/>
        <w:ind w:firstLine="640" w:firstLineChars="200"/>
        <w:rPr>
          <w:rFonts w:ascii="Times New Roman" w:hAnsi="Times New Roman" w:eastAsia="楷体_GB2312"/>
          <w:b w:val="0"/>
          <w:color w:val="000000"/>
          <w:kern w:val="0"/>
        </w:rPr>
      </w:pPr>
      <w:r>
        <w:rPr>
          <w:rFonts w:ascii="Times New Roman" w:hAnsi="Times New Roman" w:eastAsia="楷体_GB2312"/>
          <w:b w:val="0"/>
          <w:color w:val="000000"/>
          <w:kern w:val="0"/>
        </w:rPr>
        <w:t>（一）</w:t>
      </w:r>
      <w:bookmarkStart w:id="16" w:name="_Toc47116195"/>
      <w:r>
        <w:rPr>
          <w:rFonts w:ascii="Times New Roman" w:hAnsi="Times New Roman" w:eastAsia="楷体_GB2312"/>
          <w:b w:val="0"/>
          <w:color w:val="000000"/>
          <w:kern w:val="0"/>
        </w:rPr>
        <w:t>深化体制机制改革，提高应急管理水平</w:t>
      </w:r>
    </w:p>
    <w:bookmarkEnd w:id="16"/>
    <w:p>
      <w:pPr>
        <w:pStyle w:val="20"/>
        <w:keepNext w:val="0"/>
        <w:keepLines w:val="0"/>
        <w:adjustRightInd w:val="0"/>
        <w:snapToGrid w:val="0"/>
        <w:ind w:firstLine="640"/>
        <w:contextualSpacing/>
        <w:rPr>
          <w:rFonts w:ascii="Times New Roman" w:hAnsi="Times New Roman" w:eastAsia="仿宋_GB2312" w:cs="Times New Roman"/>
          <w:color w:val="000000"/>
          <w:szCs w:val="32"/>
        </w:rPr>
      </w:pPr>
      <w:bookmarkStart w:id="17" w:name="_Toc62226066"/>
      <w:bookmarkStart w:id="18" w:name="_Toc50368275"/>
      <w:bookmarkStart w:id="19" w:name="_Toc47116197"/>
      <w:r>
        <w:rPr>
          <w:rFonts w:ascii="Times New Roman" w:hAnsi="Times New Roman" w:eastAsia="仿宋_GB2312" w:cs="Times New Roman"/>
          <w:color w:val="000000"/>
          <w:szCs w:val="32"/>
        </w:rPr>
        <w:t>1.完善应急管理体制</w:t>
      </w:r>
      <w:bookmarkEnd w:id="17"/>
      <w:bookmarkEnd w:id="18"/>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建立党委政府领导下的应急指挥部，统一指挥各类应急救援队伍，统筹灾害事故救援全过程管理。健全党政同责、一岗双责、权责一致、失职追责的应急管理责任制。落实深化应急管理综合行政执法改革要求，健全区应急管理综合行政执法队伍，厘清区、街道执法管辖权限，推进应急管理队伍准军事化管理。健全区级执法力量配备、工作经费和条件保障机制。</w:t>
      </w:r>
    </w:p>
    <w:p>
      <w:pPr>
        <w:pStyle w:val="20"/>
        <w:keepNext w:val="0"/>
        <w:keepLines w:val="0"/>
        <w:adjustRightInd w:val="0"/>
        <w:snapToGrid w:val="0"/>
        <w:ind w:firstLine="640"/>
        <w:contextualSpacing/>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2.优化应急工作机制</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强化部门协同，发挥区应急管理部门综合管理优势和各相关部门专业优势，构建应急协作体系，完善应急联动机制。强化军地协同，优化军地协调联动制度，健全驻区部队参与抢险救灾的应急协调机制，畅通应急信息共享渠道，明确需求对接、队伍</w:t>
      </w:r>
      <w:r>
        <w:rPr>
          <w:rFonts w:hint="eastAsia" w:eastAsia="仿宋_GB2312"/>
          <w:color w:val="000000"/>
          <w:sz w:val="32"/>
          <w:szCs w:val="32"/>
        </w:rPr>
        <w:t>调派</w:t>
      </w:r>
      <w:r>
        <w:rPr>
          <w:rFonts w:eastAsia="仿宋_GB2312"/>
          <w:color w:val="000000"/>
          <w:sz w:val="32"/>
          <w:szCs w:val="32"/>
        </w:rPr>
        <w:t>的程序方法。强化京津冀协同，推动与京冀两地应急协同深度融合，探索建立应急资源共享、应急救援协同等机制。完善应急管理责任考评指标体系和奖惩机制，将应急管理体系和能力建设纳入党政领导干部政绩考核内容。完善受灾群众过渡安置和救助机制。科学开展灾害损失评估，及时组织协调有关部门及单位恢复生产、生活、工作和社会秩序，保障受灾群众基本生活。</w:t>
      </w:r>
    </w:p>
    <w:p>
      <w:pPr>
        <w:pStyle w:val="20"/>
        <w:keepNext w:val="0"/>
        <w:keepLines w:val="0"/>
        <w:adjustRightInd w:val="0"/>
        <w:snapToGrid w:val="0"/>
        <w:ind w:firstLine="640"/>
        <w:rPr>
          <w:rFonts w:ascii="Times New Roman" w:hAnsi="Times New Roman" w:eastAsia="仿宋_GB2312" w:cs="Times New Roman"/>
          <w:color w:val="000000"/>
        </w:rPr>
      </w:pPr>
      <w:r>
        <w:rPr>
          <w:rFonts w:ascii="Times New Roman" w:hAnsi="Times New Roman" w:cs="Times New Roman"/>
          <w:color w:val="000000"/>
        </w:rPr>
        <w:t>3.</w:t>
      </w:r>
      <w:bookmarkEnd w:id="19"/>
      <w:r>
        <w:rPr>
          <w:rFonts w:hint="eastAsia" w:ascii="Times New Roman" w:hAnsi="Times New Roman" w:eastAsia="仿宋_GB2312" w:cs="Times New Roman"/>
          <w:color w:val="000000"/>
        </w:rPr>
        <w:t>健全应急执法制度</w:t>
      </w:r>
    </w:p>
    <w:p>
      <w:pPr>
        <w:adjustRightInd w:val="0"/>
        <w:snapToGrid w:val="0"/>
        <w:spacing w:line="560" w:lineRule="exact"/>
        <w:ind w:firstLine="640" w:firstLineChars="200"/>
        <w:rPr>
          <w:rFonts w:eastAsia="仿宋_GB2312"/>
          <w:color w:val="000000"/>
          <w:sz w:val="32"/>
          <w:szCs w:val="32"/>
        </w:rPr>
      </w:pPr>
      <w:r>
        <w:rPr>
          <w:rFonts w:eastAsia="仿宋_GB2312"/>
          <w:color w:val="000000"/>
          <w:kern w:val="0"/>
          <w:sz w:val="32"/>
          <w:szCs w:val="32"/>
        </w:rPr>
        <w:t>加大危险化学品、建筑施工、道路运输等重点领域执法力度。强</w:t>
      </w:r>
      <w:r>
        <w:rPr>
          <w:rFonts w:eastAsia="仿宋_GB2312"/>
          <w:color w:val="000000"/>
          <w:sz w:val="32"/>
          <w:szCs w:val="32"/>
        </w:rPr>
        <w:t>化执法全过程监督，全面深入推进执法公示、执法全过程记录、重大执法决定法制审核</w:t>
      </w:r>
      <w:r>
        <w:rPr>
          <w:rFonts w:hint="eastAsia" w:eastAsia="仿宋_GB2312"/>
          <w:color w:val="000000"/>
          <w:kern w:val="0"/>
          <w:sz w:val="32"/>
          <w:szCs w:val="32"/>
        </w:rPr>
        <w:t>“</w:t>
      </w:r>
      <w:r>
        <w:rPr>
          <w:rFonts w:eastAsia="仿宋_GB2312"/>
          <w:color w:val="000000"/>
          <w:sz w:val="32"/>
          <w:szCs w:val="32"/>
        </w:rPr>
        <w:t>三项制度</w:t>
      </w:r>
      <w:r>
        <w:rPr>
          <w:rFonts w:hint="eastAsia" w:eastAsia="仿宋_GB2312"/>
          <w:color w:val="000000"/>
          <w:kern w:val="0"/>
          <w:sz w:val="32"/>
          <w:szCs w:val="32"/>
        </w:rPr>
        <w:t>”</w:t>
      </w:r>
      <w:r>
        <w:rPr>
          <w:rFonts w:eastAsia="仿宋_GB2312"/>
          <w:color w:val="000000"/>
          <w:sz w:val="32"/>
          <w:szCs w:val="32"/>
        </w:rPr>
        <w:t>，</w:t>
      </w:r>
      <w:r>
        <w:rPr>
          <w:rFonts w:eastAsia="仿宋_GB2312"/>
          <w:color w:val="000000"/>
          <w:kern w:val="0"/>
          <w:sz w:val="32"/>
          <w:szCs w:val="32"/>
        </w:rPr>
        <w:t>落实安全生产执法分类分级和差异化精准执法</w:t>
      </w:r>
      <w:r>
        <w:rPr>
          <w:rFonts w:eastAsia="仿宋_GB2312"/>
          <w:color w:val="000000"/>
          <w:sz w:val="32"/>
          <w:szCs w:val="32"/>
        </w:rPr>
        <w:t>，规范安全生产领域事中事后监管。实行分级分类专项执法，依法依规制定安全生产权力和责任清单，明确各行业负有安全生产监管职责部门的执法责任和监管范围，努力消除执法</w:t>
      </w:r>
      <w:r>
        <w:rPr>
          <w:rFonts w:hint="eastAsia" w:eastAsia="仿宋_GB2312"/>
          <w:color w:val="000000"/>
          <w:kern w:val="0"/>
          <w:sz w:val="32"/>
          <w:szCs w:val="32"/>
        </w:rPr>
        <w:t>“</w:t>
      </w:r>
      <w:r>
        <w:rPr>
          <w:rFonts w:eastAsia="仿宋_GB2312"/>
          <w:color w:val="000000"/>
          <w:sz w:val="32"/>
          <w:szCs w:val="32"/>
        </w:rPr>
        <w:t>盲区</w:t>
      </w:r>
      <w:r>
        <w:rPr>
          <w:rFonts w:hint="eastAsia" w:eastAsia="仿宋_GB2312"/>
          <w:color w:val="000000"/>
          <w:kern w:val="0"/>
          <w:sz w:val="32"/>
          <w:szCs w:val="32"/>
        </w:rPr>
        <w:t>”</w:t>
      </w:r>
      <w:r>
        <w:rPr>
          <w:rFonts w:eastAsia="仿宋_GB2312"/>
          <w:color w:val="000000"/>
          <w:sz w:val="32"/>
          <w:szCs w:val="32"/>
        </w:rPr>
        <w:t>和监管漏洞，解决交叉执法、重复执法等问题。</w:t>
      </w:r>
      <w:bookmarkStart w:id="20" w:name="_Toc47116198"/>
      <w:r>
        <w:rPr>
          <w:rFonts w:eastAsia="仿宋_GB2312"/>
          <w:color w:val="000000"/>
          <w:sz w:val="32"/>
          <w:szCs w:val="32"/>
        </w:rPr>
        <w:t>建立安全生产执法责任制、联合执法、信息互通、办案协作、执法责任追究等工作机制，严格落实应急管理执法要求，提高安全监管执法水平。</w:t>
      </w:r>
    </w:p>
    <w:bookmarkEnd w:id="20"/>
    <w:p>
      <w:pPr>
        <w:pStyle w:val="3"/>
        <w:keepNext w:val="0"/>
        <w:keepLines w:val="0"/>
        <w:adjustRightInd w:val="0"/>
        <w:snapToGrid w:val="0"/>
        <w:spacing w:before="0" w:after="0" w:line="560" w:lineRule="exact"/>
        <w:ind w:firstLine="640" w:firstLineChars="200"/>
        <w:rPr>
          <w:rFonts w:ascii="Times New Roman" w:hAnsi="Times New Roman" w:eastAsia="楷体_GB2312"/>
          <w:b w:val="0"/>
          <w:color w:val="000000"/>
          <w:kern w:val="0"/>
        </w:rPr>
      </w:pPr>
      <w:bookmarkStart w:id="21" w:name="_Toc46919132"/>
      <w:r>
        <w:rPr>
          <w:rFonts w:ascii="Times New Roman" w:hAnsi="Times New Roman" w:eastAsia="楷体_GB2312"/>
          <w:b w:val="0"/>
          <w:color w:val="000000"/>
          <w:kern w:val="0"/>
        </w:rPr>
        <w:t>（二）防范化解重大安全风险</w:t>
      </w:r>
      <w:bookmarkEnd w:id="21"/>
      <w:r>
        <w:rPr>
          <w:rFonts w:ascii="Times New Roman" w:hAnsi="Times New Roman" w:eastAsia="楷体_GB2312"/>
          <w:b w:val="0"/>
          <w:color w:val="000000"/>
          <w:kern w:val="0"/>
        </w:rPr>
        <w:t>，提升风险防范能力</w:t>
      </w:r>
    </w:p>
    <w:p>
      <w:pPr>
        <w:pStyle w:val="20"/>
        <w:keepNext w:val="0"/>
        <w:keepLines w:val="0"/>
        <w:adjustRightInd w:val="0"/>
        <w:snapToGrid w:val="0"/>
        <w:ind w:firstLine="640"/>
        <w:rPr>
          <w:rFonts w:ascii="Times New Roman" w:hAnsi="Times New Roman" w:cs="Times New Roman"/>
          <w:color w:val="000000"/>
        </w:rPr>
      </w:pPr>
      <w:bookmarkStart w:id="22" w:name="_Toc47116196"/>
      <w:r>
        <w:rPr>
          <w:rFonts w:ascii="Times New Roman" w:hAnsi="Times New Roman" w:cs="Times New Roman"/>
          <w:color w:val="000000"/>
        </w:rPr>
        <w:t>4.压紧</w:t>
      </w:r>
      <w:r>
        <w:rPr>
          <w:rFonts w:ascii="Times New Roman" w:hAnsi="Times New Roman" w:eastAsia="仿宋_GB2312" w:cs="Times New Roman"/>
          <w:color w:val="000000"/>
        </w:rPr>
        <w:t>压实各级安全生产责任</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压实党委政府领导责任</w:t>
      </w:r>
      <w:r>
        <w:rPr>
          <w:rFonts w:eastAsia="仿宋_GB2312"/>
          <w:bCs/>
          <w:color w:val="000000"/>
          <w:sz w:val="32"/>
          <w:szCs w:val="32"/>
        </w:rPr>
        <w:t>。</w:t>
      </w:r>
      <w:r>
        <w:rPr>
          <w:rFonts w:eastAsia="仿宋_GB2312"/>
          <w:color w:val="000000"/>
          <w:sz w:val="32"/>
          <w:szCs w:val="32"/>
        </w:rPr>
        <w:t>按照《地方党政领导干部安全生产责任制规定》《天津市党政领导干部安全生产责任制实施细则》《天津市安全生产考核和责任追究办法》要求，制定党政领导干部安全生产工作职责和年度任务</w:t>
      </w:r>
      <w:r>
        <w:rPr>
          <w:rFonts w:hint="eastAsia" w:eastAsia="仿宋_GB2312"/>
          <w:color w:val="000000"/>
          <w:kern w:val="0"/>
          <w:sz w:val="32"/>
          <w:szCs w:val="32"/>
        </w:rPr>
        <w:t>“</w:t>
      </w:r>
      <w:r>
        <w:rPr>
          <w:rFonts w:eastAsia="仿宋_GB2312"/>
          <w:color w:val="000000"/>
          <w:sz w:val="32"/>
          <w:szCs w:val="32"/>
        </w:rPr>
        <w:t>两个清单</w:t>
      </w:r>
      <w:r>
        <w:rPr>
          <w:rFonts w:hint="eastAsia" w:eastAsia="仿宋_GB2312"/>
          <w:color w:val="000000"/>
          <w:kern w:val="0"/>
          <w:sz w:val="32"/>
          <w:szCs w:val="32"/>
        </w:rPr>
        <w:t>”</w:t>
      </w:r>
      <w:r>
        <w:rPr>
          <w:rFonts w:eastAsia="仿宋_GB2312"/>
          <w:color w:val="000000"/>
          <w:sz w:val="32"/>
          <w:szCs w:val="32"/>
        </w:rPr>
        <w:t>，把安全生产纳入高质量发展评价体系，综合运用监督检查、指导协调、巡查考核等手段</w:t>
      </w:r>
      <w:r>
        <w:rPr>
          <w:rFonts w:eastAsia="仿宋_GB2312"/>
          <w:sz w:val="32"/>
          <w:szCs w:val="32"/>
        </w:rPr>
        <w:t>，强化安全生产责任落实情况的监督考核，严格责任追究</w:t>
      </w:r>
      <w:r>
        <w:rPr>
          <w:rFonts w:eastAsia="仿宋_GB2312"/>
          <w:color w:val="000000"/>
          <w:sz w:val="32"/>
          <w:szCs w:val="32"/>
        </w:rPr>
        <w:t>。严厉追究瞒报、谎报、漏报、迟报责任，严格落实</w:t>
      </w:r>
      <w:r>
        <w:rPr>
          <w:rFonts w:hint="eastAsia" w:eastAsia="仿宋_GB2312"/>
          <w:color w:val="000000"/>
          <w:kern w:val="0"/>
          <w:sz w:val="32"/>
          <w:szCs w:val="32"/>
        </w:rPr>
        <w:t>“</w:t>
      </w:r>
      <w:r>
        <w:rPr>
          <w:rFonts w:eastAsia="仿宋_GB2312"/>
          <w:color w:val="000000"/>
          <w:sz w:val="32"/>
          <w:szCs w:val="32"/>
        </w:rPr>
        <w:t>四不放过</w:t>
      </w:r>
      <w:r>
        <w:rPr>
          <w:rFonts w:hint="eastAsia" w:eastAsia="仿宋_GB2312"/>
          <w:color w:val="000000"/>
          <w:kern w:val="0"/>
          <w:sz w:val="32"/>
          <w:szCs w:val="32"/>
        </w:rPr>
        <w:t>”</w:t>
      </w:r>
      <w:r>
        <w:rPr>
          <w:rFonts w:eastAsia="仿宋_GB2312"/>
          <w:color w:val="000000"/>
          <w:sz w:val="32"/>
          <w:szCs w:val="32"/>
        </w:rPr>
        <w:t>制度。加强对未遂事故和人员受伤事故的调查分析，严防小风险酿成大事故。</w:t>
      </w:r>
      <w:r>
        <w:rPr>
          <w:rFonts w:eastAsia="仿宋_GB2312"/>
          <w:color w:val="000000"/>
          <w:kern w:val="0"/>
          <w:sz w:val="32"/>
          <w:szCs w:val="32"/>
        </w:rPr>
        <w:t>定期开展较大以上事故调查处理情况</w:t>
      </w:r>
      <w:r>
        <w:rPr>
          <w:rFonts w:hint="eastAsia" w:eastAsia="仿宋_GB2312"/>
          <w:color w:val="000000"/>
          <w:kern w:val="0"/>
          <w:sz w:val="32"/>
          <w:szCs w:val="32"/>
        </w:rPr>
        <w:t>“</w:t>
      </w:r>
      <w:r>
        <w:rPr>
          <w:rFonts w:eastAsia="仿宋_GB2312"/>
          <w:color w:val="000000"/>
          <w:kern w:val="0"/>
          <w:sz w:val="32"/>
          <w:szCs w:val="32"/>
        </w:rPr>
        <w:t>回头看</w:t>
      </w:r>
      <w:r>
        <w:rPr>
          <w:rFonts w:hint="eastAsia" w:eastAsia="仿宋_GB2312"/>
          <w:color w:val="000000"/>
          <w:kern w:val="0"/>
          <w:sz w:val="32"/>
          <w:szCs w:val="32"/>
        </w:rPr>
        <w:t>”</w:t>
      </w:r>
      <w:r>
        <w:rPr>
          <w:rFonts w:eastAsia="仿宋_GB2312"/>
          <w:color w:val="000000"/>
          <w:kern w:val="0"/>
          <w:sz w:val="32"/>
          <w:szCs w:val="32"/>
        </w:rPr>
        <w:t>，严格抓好事故整改措施和责任追究落实。</w:t>
      </w:r>
    </w:p>
    <w:p>
      <w:pPr>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强化行业监管责任。按照国家及市安全生产委员会成员单位安全生产工作任务分工要求，明晰各部门安全生产工作任务分工，严格落实</w:t>
      </w:r>
      <w:r>
        <w:rPr>
          <w:rFonts w:hint="eastAsia" w:eastAsia="仿宋_GB2312"/>
          <w:color w:val="000000"/>
          <w:kern w:val="0"/>
          <w:sz w:val="32"/>
          <w:szCs w:val="32"/>
        </w:rPr>
        <w:t>“</w:t>
      </w:r>
      <w:r>
        <w:rPr>
          <w:rFonts w:eastAsia="仿宋_GB2312"/>
          <w:color w:val="000000"/>
          <w:kern w:val="0"/>
          <w:sz w:val="32"/>
          <w:szCs w:val="32"/>
        </w:rPr>
        <w:t>三管三必须</w:t>
      </w:r>
      <w:r>
        <w:rPr>
          <w:rFonts w:hint="eastAsia" w:eastAsia="仿宋_GB2312"/>
          <w:color w:val="000000"/>
          <w:kern w:val="0"/>
          <w:sz w:val="32"/>
          <w:szCs w:val="32"/>
        </w:rPr>
        <w:t>”</w:t>
      </w:r>
      <w:r>
        <w:rPr>
          <w:rFonts w:eastAsia="仿宋_GB2312"/>
          <w:color w:val="000000"/>
          <w:kern w:val="0"/>
          <w:sz w:val="32"/>
          <w:szCs w:val="32"/>
        </w:rPr>
        <w:t>的要求。负有安全生产监督管理职责的部门在各自职责范围内，对有关行业领域的安全生产工作实施监督管理。负有行业领域管理职责的部门制定实施促进</w:t>
      </w:r>
      <w:r>
        <w:rPr>
          <w:rFonts w:hint="eastAsia" w:eastAsia="仿宋_GB2312"/>
          <w:color w:val="000000"/>
          <w:kern w:val="0"/>
          <w:sz w:val="32"/>
          <w:szCs w:val="32"/>
        </w:rPr>
        <w:t>本行业</w:t>
      </w:r>
      <w:r>
        <w:rPr>
          <w:rFonts w:eastAsia="仿宋_GB2312"/>
          <w:color w:val="000000"/>
          <w:kern w:val="0"/>
          <w:sz w:val="32"/>
          <w:szCs w:val="32"/>
        </w:rPr>
        <w:t>安全生产</w:t>
      </w:r>
      <w:r>
        <w:rPr>
          <w:rFonts w:hint="eastAsia" w:eastAsia="仿宋_GB2312"/>
          <w:color w:val="000000"/>
          <w:kern w:val="0"/>
          <w:sz w:val="32"/>
          <w:szCs w:val="32"/>
        </w:rPr>
        <w:t>工作</w:t>
      </w:r>
      <w:r>
        <w:rPr>
          <w:rFonts w:eastAsia="仿宋_GB2312"/>
          <w:color w:val="000000"/>
          <w:kern w:val="0"/>
          <w:sz w:val="32"/>
          <w:szCs w:val="32"/>
        </w:rPr>
        <w:t>的政策措施，指导、检查和督促企事业单位加强安全防范。深入推进行业安全生产专项整治行动，摸清重大风险底数，建立重大风险清单，制定风险管控措施。建立安全风险评估机制，开展城市安全风险普查及评估，加强新材料、新工艺、新业态安全风险评估和管控。</w:t>
      </w:r>
    </w:p>
    <w:p>
      <w:pPr>
        <w:adjustRightInd w:val="0"/>
        <w:snapToGrid w:val="0"/>
        <w:spacing w:line="560" w:lineRule="exact"/>
        <w:ind w:firstLine="640" w:firstLineChars="200"/>
        <w:contextualSpacing/>
        <w:rPr>
          <w:rFonts w:eastAsia="仿宋_GB2312"/>
          <w:color w:val="000000"/>
          <w:kern w:val="0"/>
          <w:sz w:val="32"/>
          <w:szCs w:val="32"/>
        </w:rPr>
      </w:pPr>
      <w:r>
        <w:rPr>
          <w:rFonts w:eastAsia="仿宋_GB2312"/>
          <w:color w:val="000000"/>
          <w:sz w:val="32"/>
          <w:szCs w:val="32"/>
        </w:rPr>
        <w:t>落实企业主体责任。健全生产经营单位负责、职工参与、政府监管、行业自律、社会监督的安全生产治理机制。</w:t>
      </w:r>
      <w:r>
        <w:rPr>
          <w:rFonts w:hint="eastAsia" w:eastAsia="仿宋_GB2312"/>
          <w:color w:val="000000"/>
          <w:sz w:val="32"/>
          <w:szCs w:val="32"/>
        </w:rPr>
        <w:t>履行</w:t>
      </w:r>
      <w:r>
        <w:rPr>
          <w:rFonts w:eastAsia="仿宋_GB2312"/>
          <w:color w:val="000000"/>
          <w:sz w:val="32"/>
          <w:szCs w:val="32"/>
        </w:rPr>
        <w:t>企业法定代表人、实际控制人、主要负责人同时列为企业安全生产第一责任人的法定责任，建立企业内部安全生产监督考核机制，建立健全从主要负责人到一线员工覆盖所有管理和操作岗位的全员安全生产责任制和安全生产规章制度。推动重点行业企业建立安全风险管控与隐患排查双重预防体系建设，建立完善的安全风险防控体系，完善隐患排查治理机制，落实企业风险管控和隐患排查治理情况向负有安全生产监督管理职责的部门和企业职代会</w:t>
      </w:r>
      <w:r>
        <w:rPr>
          <w:rFonts w:hint="eastAsia" w:eastAsia="仿宋_GB2312"/>
          <w:color w:val="000000"/>
          <w:kern w:val="0"/>
          <w:sz w:val="32"/>
          <w:szCs w:val="32"/>
        </w:rPr>
        <w:t>“</w:t>
      </w:r>
      <w:r>
        <w:rPr>
          <w:rFonts w:eastAsia="仿宋_GB2312"/>
          <w:color w:val="000000"/>
          <w:sz w:val="32"/>
          <w:szCs w:val="32"/>
        </w:rPr>
        <w:t>双报告</w:t>
      </w:r>
      <w:r>
        <w:rPr>
          <w:rFonts w:hint="eastAsia" w:eastAsia="仿宋_GB2312"/>
          <w:color w:val="000000"/>
          <w:kern w:val="0"/>
          <w:sz w:val="32"/>
          <w:szCs w:val="32"/>
        </w:rPr>
        <w:t>”</w:t>
      </w:r>
      <w:r>
        <w:rPr>
          <w:rFonts w:eastAsia="仿宋_GB2312"/>
          <w:color w:val="000000"/>
          <w:sz w:val="32"/>
          <w:szCs w:val="32"/>
        </w:rPr>
        <w:t>制度。持续推进企业安全生产标准化建设，实现安全生产现场管理、操作行为、设备设施和作业环境规范化、标准化。加强企业安全技术设备设施升级改造，推广应用先进适用的工艺和技术装备，推进机械化、信息化、智能化建设，提升本质安全水平。推动重点行业领域规模以上企业组建安全生产管理和技术团队，提高企业履行主体责任的能力。</w:t>
      </w:r>
    </w:p>
    <w:bookmarkEnd w:id="22"/>
    <w:p>
      <w:pPr>
        <w:pStyle w:val="20"/>
        <w:keepNext w:val="0"/>
        <w:keepLines w:val="0"/>
        <w:adjustRightInd w:val="0"/>
        <w:snapToGrid w:val="0"/>
        <w:ind w:firstLine="640"/>
        <w:rPr>
          <w:rFonts w:ascii="Times New Roman" w:hAnsi="Times New Roman" w:cs="Times New Roman"/>
          <w:color w:val="000000"/>
        </w:rPr>
      </w:pPr>
      <w:r>
        <w:rPr>
          <w:rFonts w:ascii="Times New Roman" w:hAnsi="Times New Roman" w:cs="Times New Roman"/>
          <w:color w:val="000000"/>
        </w:rPr>
        <w:t>5.深化重点行业领域专项治理</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危险化学品领域：制定并公布化工和危险化学品企业执法计划。加强车站等危险货物装卸、储存场所和设施的安全监管，对不符合安全生产条件的进行清理整顿。</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工矿商贸领域：开展工矿商贸企业安全风险摸底排查并分类分级，建立健全安全监管台账。加强涉爆粉尘、液氨涉氯、受限空间作业等重点领域的风险管控及隐患排查。</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消防和仓储物流领域：集中开展高层建筑、大型商业综合体、养老机构、学校、文物重点场所及彩钢板建筑、老旧小区、家庭加工作坊、</w:t>
      </w:r>
      <w:r>
        <w:rPr>
          <w:rFonts w:hint="eastAsia" w:eastAsia="仿宋_GB2312"/>
          <w:color w:val="000000"/>
          <w:kern w:val="0"/>
          <w:sz w:val="32"/>
          <w:szCs w:val="32"/>
        </w:rPr>
        <w:t>“</w:t>
      </w:r>
      <w:r>
        <w:rPr>
          <w:rFonts w:eastAsia="仿宋_GB2312"/>
          <w:color w:val="000000"/>
          <w:sz w:val="32"/>
          <w:szCs w:val="32"/>
        </w:rPr>
        <w:t>三合一</w:t>
      </w:r>
      <w:r>
        <w:rPr>
          <w:rFonts w:hint="eastAsia" w:eastAsia="仿宋_GB2312"/>
          <w:color w:val="000000"/>
          <w:kern w:val="0"/>
          <w:sz w:val="32"/>
          <w:szCs w:val="32"/>
        </w:rPr>
        <w:t>”</w:t>
      </w:r>
      <w:r>
        <w:rPr>
          <w:rFonts w:eastAsia="仿宋_GB2312"/>
          <w:color w:val="000000"/>
          <w:sz w:val="32"/>
          <w:szCs w:val="32"/>
        </w:rPr>
        <w:t>场所、电动自行车等</w:t>
      </w:r>
      <w:r>
        <w:rPr>
          <w:rFonts w:hint="eastAsia" w:eastAsia="仿宋_GB2312"/>
          <w:color w:val="000000"/>
          <w:sz w:val="32"/>
          <w:szCs w:val="32"/>
        </w:rPr>
        <w:t>方面</w:t>
      </w:r>
      <w:r>
        <w:rPr>
          <w:rFonts w:eastAsia="仿宋_GB2312"/>
          <w:color w:val="000000"/>
          <w:sz w:val="32"/>
          <w:szCs w:val="32"/>
        </w:rPr>
        <w:t>的消防安全治理。开展仓储企业</w:t>
      </w:r>
      <w:r>
        <w:rPr>
          <w:rFonts w:hint="eastAsia" w:eastAsia="仿宋_GB2312"/>
          <w:color w:val="000000"/>
          <w:sz w:val="32"/>
          <w:szCs w:val="32"/>
        </w:rPr>
        <w:t>、</w:t>
      </w:r>
      <w:r>
        <w:rPr>
          <w:rFonts w:eastAsia="仿宋_GB2312"/>
          <w:color w:val="000000"/>
          <w:sz w:val="32"/>
          <w:szCs w:val="32"/>
        </w:rPr>
        <w:t>场所（建筑面积在300平方米以上）消防安全评估，重点加强安全责任、安全培训、应急预案、库存清单管理等工作。</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道路运输和交通运输领域：深入实施公路安全生命防护工程，加快临水、急弯陡坡等重点路段和危桥改造整治。持续加强完善道路交通安全设施，科学调整完善交通秩序乱点堵点及交通安全隐患点段的交通标志、标线、信号灯、隔离护栏等设置。危险货物运输车辆安装远程提醒监控系统。加强客货车安全源头整治，加快淘汰报废57座以上大客车及卧铺客车，开展货车非法改装、</w:t>
      </w:r>
      <w:r>
        <w:rPr>
          <w:rFonts w:hint="eastAsia" w:eastAsia="仿宋_GB2312"/>
          <w:color w:val="000000"/>
          <w:kern w:val="0"/>
          <w:sz w:val="32"/>
          <w:szCs w:val="32"/>
        </w:rPr>
        <w:t>“</w:t>
      </w:r>
      <w:r>
        <w:rPr>
          <w:rFonts w:eastAsia="仿宋_GB2312"/>
          <w:color w:val="000000"/>
          <w:sz w:val="32"/>
          <w:szCs w:val="32"/>
        </w:rPr>
        <w:t>大吨小标</w:t>
      </w:r>
      <w:r>
        <w:rPr>
          <w:rFonts w:hint="eastAsia" w:eastAsia="仿宋_GB2312"/>
          <w:color w:val="000000"/>
          <w:kern w:val="0"/>
          <w:sz w:val="32"/>
          <w:szCs w:val="32"/>
        </w:rPr>
        <w:t>”</w:t>
      </w:r>
      <w:r>
        <w:rPr>
          <w:rFonts w:eastAsia="仿宋_GB2312"/>
          <w:color w:val="000000"/>
          <w:sz w:val="32"/>
          <w:szCs w:val="32"/>
        </w:rPr>
        <w:t>专项整治。加强对客货运输车辆落实GPS车辆卫星定位系统监控平台情况的检查，落实重点车辆及校车交通安全管理。深化铁路、地铁周边保护区安全专项治理。</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城市建设领域：</w:t>
      </w:r>
      <w:r>
        <w:rPr>
          <w:rFonts w:eastAsia="仿宋_GB2312"/>
          <w:sz w:val="32"/>
          <w:szCs w:val="32"/>
        </w:rPr>
        <w:t>严格</w:t>
      </w:r>
      <w:r>
        <w:rPr>
          <w:rFonts w:hint="eastAsia" w:eastAsia="仿宋_GB2312"/>
          <w:sz w:val="32"/>
          <w:szCs w:val="32"/>
        </w:rPr>
        <w:t>落实</w:t>
      </w:r>
      <w:r>
        <w:rPr>
          <w:rFonts w:eastAsia="仿宋_GB2312"/>
          <w:sz w:val="32"/>
          <w:szCs w:val="32"/>
        </w:rPr>
        <w:t>建设项目安全设施</w:t>
      </w:r>
      <w:r>
        <w:rPr>
          <w:rFonts w:hint="eastAsia" w:eastAsia="仿宋_GB2312"/>
          <w:color w:val="000000"/>
          <w:kern w:val="0"/>
          <w:sz w:val="32"/>
          <w:szCs w:val="32"/>
        </w:rPr>
        <w:t>“</w:t>
      </w:r>
      <w:r>
        <w:rPr>
          <w:rFonts w:eastAsia="仿宋_GB2312"/>
          <w:sz w:val="32"/>
          <w:szCs w:val="32"/>
        </w:rPr>
        <w:t>三同时</w:t>
      </w:r>
      <w:r>
        <w:rPr>
          <w:rFonts w:hint="eastAsia" w:eastAsia="仿宋_GB2312"/>
          <w:color w:val="000000"/>
          <w:kern w:val="0"/>
          <w:sz w:val="32"/>
          <w:szCs w:val="32"/>
        </w:rPr>
        <w:t>”</w:t>
      </w:r>
      <w:r>
        <w:rPr>
          <w:rFonts w:eastAsia="仿宋_GB2312"/>
          <w:sz w:val="32"/>
          <w:szCs w:val="32"/>
        </w:rPr>
        <w:t>制度，健全重大项目决策安全风险评估与论证机制。</w:t>
      </w:r>
      <w:r>
        <w:rPr>
          <w:rFonts w:eastAsia="仿宋_GB2312"/>
          <w:color w:val="000000"/>
          <w:sz w:val="32"/>
          <w:szCs w:val="32"/>
        </w:rPr>
        <w:t>持续推进施工企业及施工现场安全生产管理标准化。</w:t>
      </w:r>
      <w:r>
        <w:rPr>
          <w:rFonts w:hint="eastAsia" w:eastAsia="仿宋_GB2312"/>
          <w:color w:val="000000"/>
          <w:sz w:val="32"/>
          <w:szCs w:val="32"/>
        </w:rPr>
        <w:t>严格</w:t>
      </w:r>
      <w:r>
        <w:rPr>
          <w:rFonts w:eastAsia="仿宋_GB2312"/>
          <w:color w:val="000000"/>
          <w:sz w:val="32"/>
          <w:szCs w:val="32"/>
        </w:rPr>
        <w:t>模板工程及支撑体系、深基坑、起重吊装及安装拆卸、脚手架、隧道等危大工程施工管理。重点开展既有建筑改扩建结构安全隐患排查，逐一建档造册，实行台账管理。持续推进施工企业及施工现场安全生产管理标准化</w:t>
      </w:r>
      <w:r>
        <w:rPr>
          <w:rFonts w:hint="eastAsia" w:eastAsia="仿宋_GB2312"/>
          <w:color w:val="000000"/>
          <w:sz w:val="32"/>
          <w:szCs w:val="32"/>
        </w:rPr>
        <w:t>。</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其他领域：强化特种设备生产、使用安全主体责任的落实，严格执行特种设备生产许可制度，推动特种设备使用单位建立健全安全管理制度和隐患排查制度，加强大型游乐设施、电梯等监督检查。加强危险废物产生、收集、贮存、转移、运输、利用、处置等全过程的监管。强化动火、受限空间、盲板抽堵、高处、吊装、临时用电、动土、断路及设备维修等作业的安全管理。</w:t>
      </w:r>
    </w:p>
    <w:p>
      <w:pPr>
        <w:pStyle w:val="20"/>
        <w:keepNext w:val="0"/>
        <w:keepLines w:val="0"/>
        <w:adjustRightInd w:val="0"/>
        <w:snapToGrid w:val="0"/>
        <w:ind w:firstLine="640"/>
        <w:rPr>
          <w:rFonts w:ascii="Times New Roman" w:hAnsi="Times New Roman" w:cs="Times New Roman"/>
        </w:rPr>
      </w:pPr>
      <w:r>
        <w:rPr>
          <w:rFonts w:ascii="Times New Roman" w:hAnsi="Times New Roman" w:cs="Times New Roman"/>
        </w:rPr>
        <w:t>6.提高灾害风险监测预警能力</w:t>
      </w:r>
    </w:p>
    <w:p>
      <w:pPr>
        <w:adjustRightInd w:val="0"/>
        <w:snapToGrid w:val="0"/>
        <w:spacing w:line="560" w:lineRule="exact"/>
        <w:ind w:firstLine="640" w:firstLineChars="200"/>
        <w:rPr>
          <w:rFonts w:eastAsia="仿宋_GB2312"/>
          <w:sz w:val="32"/>
          <w:szCs w:val="32"/>
        </w:rPr>
      </w:pPr>
      <w:r>
        <w:rPr>
          <w:rFonts w:eastAsia="仿宋_GB2312"/>
          <w:sz w:val="32"/>
          <w:szCs w:val="32"/>
        </w:rPr>
        <w:t>建立安全风险评估机制，定期开展区域安全风险普查及评估，加强新材料、新工艺、新业态安全风险评估和管控。建立自然灾害和事故灾难突发事件预防和应急处置风险分析研判机制，健全风险动态联合会商机制。加强重大活动安全风险监测预警。推动重点监管企业加强内部安全生产相关防护装置、处置手段、信息化系统的建设投入，对企业内部的工艺流程、安全生产工作实现信息化日常管理，加强政府监管部门与企业数据对接。</w:t>
      </w:r>
    </w:p>
    <w:p>
      <w:pPr>
        <w:pStyle w:val="20"/>
        <w:keepNext w:val="0"/>
        <w:keepLines w:val="0"/>
        <w:adjustRightInd w:val="0"/>
        <w:snapToGrid w:val="0"/>
        <w:ind w:firstLine="640"/>
        <w:rPr>
          <w:rFonts w:ascii="Times New Roman" w:hAnsi="Times New Roman" w:eastAsia="仿宋_GB2312" w:cs="Times New Roman"/>
          <w:color w:val="000000"/>
        </w:rPr>
      </w:pPr>
      <w:r>
        <w:rPr>
          <w:rFonts w:ascii="Times New Roman" w:hAnsi="Times New Roman" w:eastAsia="仿宋_GB2312" w:cs="Times New Roman"/>
          <w:color w:val="000000"/>
        </w:rPr>
        <w:t>7.提升自然灾害风险防治能力</w:t>
      </w:r>
    </w:p>
    <w:p>
      <w:pPr>
        <w:adjustRightInd w:val="0"/>
        <w:snapToGrid w:val="0"/>
        <w:spacing w:line="560" w:lineRule="exact"/>
        <w:ind w:firstLine="640" w:firstLineChars="200"/>
        <w:rPr>
          <w:rFonts w:eastAsia="仿宋_GB2312"/>
          <w:strike/>
          <w:color w:val="000000"/>
          <w:sz w:val="32"/>
          <w:szCs w:val="32"/>
        </w:rPr>
      </w:pPr>
      <w:r>
        <w:rPr>
          <w:rFonts w:eastAsia="仿宋_GB2312"/>
          <w:color w:val="000000"/>
          <w:sz w:val="32"/>
          <w:szCs w:val="32"/>
        </w:rPr>
        <w:t>推动落实自然灾害防治属地党委责任。健全属地政府预防与应急准备、灾害事故风险隐患调查、应急处置与救援救灾等工作责任制。组织开展自然灾害风险调查评估，摸清区</w:t>
      </w:r>
      <w:r>
        <w:rPr>
          <w:rFonts w:hint="eastAsia" w:eastAsia="仿宋_GB2312"/>
          <w:color w:val="000000"/>
          <w:sz w:val="32"/>
          <w:szCs w:val="32"/>
        </w:rPr>
        <w:t>域</w:t>
      </w:r>
      <w:r>
        <w:rPr>
          <w:rFonts w:eastAsia="仿宋_GB2312"/>
          <w:color w:val="000000"/>
          <w:sz w:val="32"/>
          <w:szCs w:val="32"/>
        </w:rPr>
        <w:t>自然灾害风险隐患底数，建立自然灾害隐患台账。推动公共基础设施和住房抗震设防改造工作，重点提升学校、医院等人员密集场所安全水平，幼儿园、中小学教学用房及学生宿舍、食堂逐步达到重点设防类抗震设防标准。改扩建排水设施以及配套工程，推进积水片区改造。推动自然灾害高风险地区居民建筑防震加固工程，对未采取抗震设防措施、存在抗震隐患的建筑工程，分期分类进行加固。完善应急避难场所规划布局，依托现有学校、公园、体育场馆、人防工程、社区广场等公共工程因地制宜建设应急避难场所，提升现有应急避难场所配套设施。</w:t>
      </w:r>
    </w:p>
    <w:p>
      <w:pPr>
        <w:pStyle w:val="3"/>
        <w:keepNext w:val="0"/>
        <w:keepLines w:val="0"/>
        <w:adjustRightInd w:val="0"/>
        <w:snapToGrid w:val="0"/>
        <w:spacing w:before="0" w:after="0" w:line="560" w:lineRule="exact"/>
        <w:ind w:firstLine="640" w:firstLineChars="200"/>
        <w:rPr>
          <w:rFonts w:ascii="Times New Roman" w:hAnsi="Times New Roman" w:eastAsia="楷体_GB2312"/>
          <w:b w:val="0"/>
          <w:bCs w:val="0"/>
          <w:color w:val="000000"/>
          <w:kern w:val="0"/>
        </w:rPr>
      </w:pPr>
      <w:bookmarkStart w:id="23" w:name="_Toc46919140"/>
      <w:bookmarkStart w:id="24" w:name="_Toc444688214"/>
      <w:r>
        <w:rPr>
          <w:rFonts w:ascii="Times New Roman" w:hAnsi="Times New Roman" w:eastAsia="楷体_GB2312"/>
          <w:b w:val="0"/>
          <w:color w:val="000000"/>
          <w:kern w:val="0"/>
        </w:rPr>
        <w:t>（三）</w:t>
      </w:r>
      <w:bookmarkEnd w:id="23"/>
      <w:r>
        <w:rPr>
          <w:rFonts w:ascii="Times New Roman" w:hAnsi="Times New Roman" w:eastAsia="楷体_GB2312"/>
          <w:b w:val="0"/>
          <w:bCs w:val="0"/>
          <w:color w:val="000000"/>
          <w:kern w:val="0"/>
        </w:rPr>
        <w:t>加强应急应对能力建设，有效应对各类灾害事故</w:t>
      </w:r>
    </w:p>
    <w:p>
      <w:pPr>
        <w:pStyle w:val="20"/>
        <w:keepNext w:val="0"/>
        <w:keepLines w:val="0"/>
        <w:adjustRightInd w:val="0"/>
        <w:snapToGrid w:val="0"/>
        <w:ind w:firstLine="640"/>
        <w:rPr>
          <w:rFonts w:ascii="Times New Roman" w:hAnsi="Times New Roman" w:cs="Times New Roman"/>
          <w:color w:val="000000"/>
        </w:rPr>
      </w:pPr>
      <w:bookmarkStart w:id="25" w:name="_Toc46919134"/>
      <w:r>
        <w:rPr>
          <w:rFonts w:ascii="Times New Roman" w:hAnsi="Times New Roman" w:cs="Times New Roman"/>
          <w:color w:val="000000"/>
        </w:rPr>
        <w:t>8.</w:t>
      </w:r>
      <w:r>
        <w:rPr>
          <w:rFonts w:ascii="Times New Roman" w:hAnsi="Times New Roman" w:eastAsia="仿宋_GB2312" w:cs="Times New Roman"/>
          <w:color w:val="000000"/>
        </w:rPr>
        <w:t>构建科学应急预案体系</w:t>
      </w:r>
    </w:p>
    <w:p>
      <w:pPr>
        <w:adjustRightInd w:val="0"/>
        <w:snapToGrid w:val="0"/>
        <w:spacing w:line="560" w:lineRule="exact"/>
        <w:ind w:firstLine="640" w:firstLineChars="200"/>
        <w:contextualSpacing/>
        <w:rPr>
          <w:rFonts w:eastAsia="仿宋_GB2312"/>
          <w:color w:val="000000"/>
          <w:sz w:val="32"/>
          <w:szCs w:val="32"/>
        </w:rPr>
      </w:pPr>
      <w:r>
        <w:rPr>
          <w:rFonts w:eastAsia="仿宋_GB2312"/>
          <w:sz w:val="32"/>
          <w:szCs w:val="32"/>
        </w:rPr>
        <w:t>建立种类齐全、衔接有序、管理规范、面向实战的应急预案体系。</w:t>
      </w:r>
      <w:r>
        <w:rPr>
          <w:rFonts w:eastAsia="仿宋_GB2312"/>
          <w:color w:val="000000"/>
          <w:sz w:val="32"/>
          <w:szCs w:val="32"/>
        </w:rPr>
        <w:t>按照国家、天津市总体应急预案相关要求，进一步</w:t>
      </w:r>
      <w:r>
        <w:rPr>
          <w:rFonts w:hint="eastAsia" w:eastAsia="仿宋_GB2312"/>
          <w:color w:val="000000"/>
          <w:sz w:val="32"/>
          <w:szCs w:val="32"/>
        </w:rPr>
        <w:t>修制</w:t>
      </w:r>
      <w:r>
        <w:rPr>
          <w:rFonts w:eastAsia="仿宋_GB2312"/>
          <w:color w:val="000000"/>
          <w:sz w:val="32"/>
          <w:szCs w:val="32"/>
        </w:rPr>
        <w:t>订区总体应急预案、专项预案和部门预案，</w:t>
      </w:r>
      <w:r>
        <w:rPr>
          <w:rFonts w:eastAsia="仿宋_GB2312"/>
          <w:sz w:val="32"/>
          <w:szCs w:val="32"/>
        </w:rPr>
        <w:t>逐级落实应急预案报备制度。</w:t>
      </w:r>
      <w:r>
        <w:rPr>
          <w:rFonts w:eastAsia="仿宋_GB2312"/>
          <w:color w:val="000000"/>
          <w:sz w:val="32"/>
          <w:szCs w:val="32"/>
        </w:rPr>
        <w:t>加快推进各行业部门、街道、社区等应急预案修订。</w:t>
      </w:r>
      <w:r>
        <w:rPr>
          <w:rFonts w:eastAsia="仿宋_GB2312"/>
          <w:sz w:val="32"/>
          <w:szCs w:val="32"/>
        </w:rPr>
        <w:t>推动重大危险源、重大活动等安全保障应急预案的编制。加强预案配套工作手册、行动方案等支撑性文件的编制。</w:t>
      </w:r>
      <w:r>
        <w:rPr>
          <w:rFonts w:eastAsia="仿宋_GB2312"/>
          <w:color w:val="000000"/>
          <w:sz w:val="32"/>
          <w:szCs w:val="32"/>
        </w:rPr>
        <w:t>加强上下级预案、同级预案等相关预案之间的有效衔接。加强应急预案的宣传和培训，</w:t>
      </w:r>
      <w:r>
        <w:rPr>
          <w:rFonts w:eastAsia="仿宋_GB2312"/>
          <w:sz w:val="32"/>
          <w:szCs w:val="32"/>
        </w:rPr>
        <w:t>建立预案督促指导工作机制</w:t>
      </w:r>
      <w:r>
        <w:rPr>
          <w:rFonts w:eastAsia="仿宋_GB2312"/>
          <w:color w:val="000000"/>
          <w:sz w:val="32"/>
          <w:szCs w:val="32"/>
        </w:rPr>
        <w:t>。制定并落实年度应急演练计划，组织开展全区跨部门的综合应急演练，重点加强基层组织的应急预案演练，积极开展应急演练评估。各部门组织开展应急预案落实情况检查。</w:t>
      </w:r>
    </w:p>
    <w:p>
      <w:pPr>
        <w:pStyle w:val="20"/>
        <w:keepNext w:val="0"/>
        <w:keepLines w:val="0"/>
        <w:adjustRightInd w:val="0"/>
        <w:snapToGrid w:val="0"/>
        <w:ind w:firstLine="640"/>
        <w:rPr>
          <w:rFonts w:ascii="Times New Roman" w:hAnsi="Times New Roman" w:eastAsia="仿宋_GB2312" w:cs="Times New Roman"/>
          <w:color w:val="000000"/>
        </w:rPr>
      </w:pPr>
      <w:r>
        <w:rPr>
          <w:rFonts w:ascii="Times New Roman" w:hAnsi="Times New Roman" w:eastAsia="仿宋_GB2312" w:cs="Times New Roman"/>
          <w:color w:val="000000"/>
        </w:rPr>
        <w:t>9.建设素质过硬应急队伍</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以现有国家综合性消防救援队伍为基础，融合医疗救护、建设工程、环境、公共设施、应急抢修、抗洪抢险、治安维护、粮食物资等专业技术力量，组建综合应急救援队伍。强化抗洪抢险、地震和地质灾害救援、生产安全事故救援、紧急医学救援等各类专业救援力量的建设，提高各类应急救援队伍</w:t>
      </w:r>
      <w:r>
        <w:rPr>
          <w:rFonts w:hint="eastAsia" w:eastAsia="仿宋_GB2312"/>
          <w:color w:val="000000"/>
          <w:kern w:val="0"/>
          <w:sz w:val="32"/>
          <w:szCs w:val="32"/>
        </w:rPr>
        <w:t>“</w:t>
      </w:r>
      <w:r>
        <w:rPr>
          <w:rFonts w:eastAsia="仿宋_GB2312"/>
          <w:color w:val="000000"/>
          <w:sz w:val="32"/>
          <w:szCs w:val="32"/>
        </w:rPr>
        <w:t>一专多能</w:t>
      </w:r>
      <w:r>
        <w:rPr>
          <w:rFonts w:hint="eastAsia" w:eastAsia="仿宋_GB2312"/>
          <w:color w:val="000000"/>
          <w:kern w:val="0"/>
          <w:sz w:val="32"/>
          <w:szCs w:val="32"/>
        </w:rPr>
        <w:t>”</w:t>
      </w:r>
      <w:r>
        <w:rPr>
          <w:rFonts w:eastAsia="仿宋_GB2312"/>
          <w:color w:val="000000"/>
          <w:sz w:val="32"/>
          <w:szCs w:val="32"/>
        </w:rPr>
        <w:t>救援能力。支持基层成立综合应急救援队伍。街道办事处组织有关单位，依托民兵、预备役人员、警务人员、医务人员、保安员、红十字救护员等有相关救援专业知识和经验的人员，组建专（兼）职应急救援队伍。相关企事业单位按照要求建立专（兼）职应急救援队伍。完善社会应急力量激励约束政策，积极发展社会应急力量。开展社会应急力量调查摸底，以街道为单位摸清社会应急救援力量人员、装备、资金、保障等基本信息，建立社会应急力量档案资源库。加强各类应急救援队伍的专业培训、应急演练、应急救援等制度机制，建立信息共享、联络会商、指挥调</w:t>
      </w:r>
      <w:r>
        <w:rPr>
          <w:rFonts w:hint="eastAsia" w:eastAsia="仿宋_GB2312"/>
          <w:color w:val="000000"/>
          <w:sz w:val="32"/>
          <w:szCs w:val="32"/>
        </w:rPr>
        <w:t>度</w:t>
      </w:r>
      <w:r>
        <w:rPr>
          <w:rFonts w:eastAsia="仿宋_GB2312"/>
          <w:color w:val="000000"/>
          <w:sz w:val="32"/>
          <w:szCs w:val="32"/>
        </w:rPr>
        <w:t>、应急联动等工作机制建设，推动全区应急救援能力和水平的全面提升。</w:t>
      </w:r>
    </w:p>
    <w:bookmarkEnd w:id="25"/>
    <w:p>
      <w:pPr>
        <w:pStyle w:val="20"/>
        <w:keepNext w:val="0"/>
        <w:keepLines w:val="0"/>
        <w:adjustRightInd w:val="0"/>
        <w:snapToGrid w:val="0"/>
        <w:ind w:firstLine="640"/>
        <w:rPr>
          <w:rFonts w:ascii="Times New Roman" w:hAnsi="Times New Roman" w:cs="Times New Roman"/>
          <w:color w:val="000000"/>
        </w:rPr>
      </w:pPr>
      <w:r>
        <w:rPr>
          <w:rFonts w:ascii="Times New Roman" w:hAnsi="Times New Roman" w:cs="Times New Roman"/>
          <w:color w:val="000000"/>
        </w:rPr>
        <w:t>10.提升应急物资保障能力</w:t>
      </w:r>
    </w:p>
    <w:p>
      <w:pPr>
        <w:adjustRightInd w:val="0"/>
        <w:snapToGrid w:val="0"/>
        <w:spacing w:line="560" w:lineRule="exact"/>
        <w:ind w:firstLine="640" w:firstLineChars="200"/>
        <w:rPr>
          <w:rFonts w:eastAsia="仿宋_GB2312"/>
          <w:color w:val="000000"/>
          <w:sz w:val="32"/>
          <w:szCs w:val="32"/>
        </w:rPr>
      </w:pPr>
      <w:r>
        <w:rPr>
          <w:rFonts w:eastAsia="仿宋_GB2312"/>
          <w:sz w:val="32"/>
          <w:szCs w:val="32"/>
        </w:rPr>
        <w:t>各部门结合本区域、本系统、本领域风险隐患特点和自身在应急管理工作中的职责，制定应急物资装备储备计划。</w:t>
      </w:r>
      <w:r>
        <w:rPr>
          <w:rFonts w:eastAsia="仿宋_GB2312"/>
          <w:color w:val="000000"/>
          <w:sz w:val="32"/>
          <w:szCs w:val="32"/>
        </w:rPr>
        <w:t>整合全区各部门、街道应急物资和救灾物资，建立区域应急物资和救灾物资台账。结合区</w:t>
      </w:r>
      <w:r>
        <w:rPr>
          <w:rFonts w:hint="eastAsia" w:eastAsia="仿宋_GB2312"/>
          <w:color w:val="000000"/>
          <w:sz w:val="32"/>
          <w:szCs w:val="32"/>
        </w:rPr>
        <w:t>域</w:t>
      </w:r>
      <w:r>
        <w:rPr>
          <w:rFonts w:eastAsia="仿宋_GB2312"/>
          <w:color w:val="000000"/>
          <w:sz w:val="32"/>
          <w:szCs w:val="32"/>
        </w:rPr>
        <w:t>灾害特点，补充完善应急救援物资品种、数量，优化应急救援物资储备布局。充分利用市场机制与社会力量，建立实物储备和产能储备相结合、政府储备和企业商业储备相结合、军民融合的储备机制。增强街道、社区、企事业单位、社会组织应急物资社会化储备能力。推动学校、商场、地铁、火车站等人员密集场所急救箱和体外除颤仪配置。针对大型商贸体特殊内部</w:t>
      </w:r>
      <w:r>
        <w:rPr>
          <w:rFonts w:hint="eastAsia" w:eastAsia="仿宋_GB2312"/>
          <w:color w:val="000000"/>
          <w:sz w:val="32"/>
          <w:szCs w:val="32"/>
        </w:rPr>
        <w:t>构建</w:t>
      </w:r>
      <w:r>
        <w:rPr>
          <w:rFonts w:eastAsia="仿宋_GB2312"/>
          <w:color w:val="000000"/>
          <w:sz w:val="32"/>
          <w:szCs w:val="32"/>
        </w:rPr>
        <w:t>，配置一定数量的生命探测仪、自动化搜救机器人等搜救设备。鼓励引导居民家庭储备基本应急物资和救生避险装备，推广使用家庭应急包。</w:t>
      </w:r>
    </w:p>
    <w:p>
      <w:pPr>
        <w:pStyle w:val="20"/>
        <w:keepNext w:val="0"/>
        <w:keepLines w:val="0"/>
        <w:adjustRightInd w:val="0"/>
        <w:snapToGrid w:val="0"/>
        <w:ind w:firstLine="640"/>
        <w:rPr>
          <w:rFonts w:ascii="Times New Roman" w:hAnsi="Times New Roman" w:eastAsia="仿宋_GB2312" w:cs="Times New Roman"/>
          <w:bCs/>
          <w:color w:val="000000"/>
          <w:szCs w:val="32"/>
        </w:rPr>
      </w:pPr>
      <w:r>
        <w:rPr>
          <w:rFonts w:ascii="Times New Roman" w:hAnsi="Times New Roman" w:eastAsia="仿宋_GB2312" w:cs="Times New Roman"/>
          <w:bCs/>
          <w:color w:val="000000"/>
          <w:szCs w:val="32"/>
        </w:rPr>
        <w:t>11.</w:t>
      </w:r>
      <w:r>
        <w:rPr>
          <w:rFonts w:ascii="Times New Roman" w:hAnsi="Times New Roman" w:eastAsia="仿宋_GB2312" w:cs="Times New Roman"/>
          <w:color w:val="000000"/>
        </w:rPr>
        <w:t>完善应急指挥体系建设</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加强应急管理组织协调，调整完善安全生产、应急管理、自然灾害等工作协调机制，加强专项综合指挥协调工作，建立健全统一的应急指挥体系。梳理救援队伍、专家、物资、装备等应急资源，建立完善应急指挥基础数据。健全区级与街道的分级响应机制，明确各级各类灾害事故响应程序。建立灾害事故信息直报制度，建立健全重特大灾害事故报送、舆情收集、分析研判、快速响应和新闻发布机制，理顺信息报告体制机制，提升第一时间获取突发事件信息的能力。</w:t>
      </w:r>
    </w:p>
    <w:bookmarkEnd w:id="24"/>
    <w:p>
      <w:pPr>
        <w:pStyle w:val="3"/>
        <w:keepNext w:val="0"/>
        <w:keepLines w:val="0"/>
        <w:adjustRightInd w:val="0"/>
        <w:snapToGrid w:val="0"/>
        <w:spacing w:before="0" w:after="0" w:line="560" w:lineRule="exact"/>
        <w:ind w:firstLine="640" w:firstLineChars="200"/>
        <w:rPr>
          <w:rFonts w:ascii="Times New Roman" w:hAnsi="Times New Roman" w:eastAsia="楷体_GB2312"/>
          <w:b w:val="0"/>
          <w:color w:val="000000"/>
          <w:kern w:val="0"/>
        </w:rPr>
      </w:pPr>
      <w:bookmarkStart w:id="26" w:name="_Toc448397344"/>
      <w:bookmarkStart w:id="27" w:name="_Toc46919150"/>
      <w:bookmarkStart w:id="28" w:name="_Toc446854073"/>
      <w:bookmarkStart w:id="29" w:name="_Toc502"/>
      <w:bookmarkStart w:id="30" w:name="_Toc444688217"/>
      <w:r>
        <w:rPr>
          <w:rFonts w:ascii="Times New Roman" w:hAnsi="Times New Roman" w:eastAsia="楷体_GB2312"/>
          <w:b w:val="0"/>
          <w:color w:val="000000"/>
          <w:kern w:val="0"/>
        </w:rPr>
        <w:t>（四）</w:t>
      </w:r>
      <w:bookmarkEnd w:id="26"/>
      <w:bookmarkEnd w:id="27"/>
      <w:bookmarkEnd w:id="28"/>
      <w:bookmarkEnd w:id="29"/>
      <w:bookmarkEnd w:id="30"/>
      <w:bookmarkStart w:id="31" w:name="_Toc46919153"/>
      <w:r>
        <w:rPr>
          <w:rFonts w:ascii="Times New Roman" w:hAnsi="Times New Roman" w:eastAsia="楷体_GB2312"/>
          <w:b w:val="0"/>
          <w:bCs w:val="0"/>
          <w:color w:val="000000"/>
          <w:kern w:val="0"/>
        </w:rPr>
        <w:t>健全社会共治共建机制，构筑防灾减灾救灾人民防线</w:t>
      </w:r>
    </w:p>
    <w:p>
      <w:pPr>
        <w:pStyle w:val="20"/>
        <w:keepNext w:val="0"/>
        <w:keepLines w:val="0"/>
        <w:adjustRightInd w:val="0"/>
        <w:snapToGrid w:val="0"/>
        <w:ind w:firstLine="640"/>
        <w:rPr>
          <w:rFonts w:ascii="Times New Roman" w:hAnsi="Times New Roman" w:cs="Times New Roman"/>
          <w:color w:val="000000"/>
        </w:rPr>
      </w:pPr>
      <w:bookmarkStart w:id="32" w:name="_Toc46919152"/>
      <w:r>
        <w:rPr>
          <w:rFonts w:ascii="Times New Roman" w:hAnsi="Times New Roman" w:cs="Times New Roman"/>
          <w:color w:val="000000"/>
        </w:rPr>
        <w:t>12.</w:t>
      </w:r>
      <w:r>
        <w:rPr>
          <w:rFonts w:ascii="Times New Roman" w:hAnsi="Times New Roman" w:eastAsia="仿宋_GB2312" w:cs="Times New Roman"/>
          <w:color w:val="000000"/>
        </w:rPr>
        <w:t>提升基层</w:t>
      </w:r>
      <w:bookmarkEnd w:id="32"/>
      <w:r>
        <w:rPr>
          <w:rFonts w:ascii="Times New Roman" w:hAnsi="Times New Roman" w:eastAsia="仿宋_GB2312" w:cs="Times New Roman"/>
          <w:color w:val="000000"/>
        </w:rPr>
        <w:t>应急管理能力</w:t>
      </w:r>
    </w:p>
    <w:p>
      <w:pPr>
        <w:adjustRightInd w:val="0"/>
        <w:snapToGrid w:val="0"/>
        <w:spacing w:line="560" w:lineRule="exact"/>
        <w:ind w:firstLine="640" w:firstLineChars="200"/>
        <w:rPr>
          <w:rFonts w:eastAsia="仿宋_GB2312"/>
          <w:bCs/>
          <w:color w:val="000000"/>
          <w:sz w:val="32"/>
          <w:szCs w:val="32"/>
        </w:rPr>
      </w:pPr>
      <w:r>
        <w:rPr>
          <w:rFonts w:eastAsia="仿宋_GB2312"/>
          <w:bCs/>
          <w:color w:val="000000"/>
          <w:sz w:val="32"/>
          <w:szCs w:val="32"/>
        </w:rPr>
        <w:t>以网格化管理为切入点，健全基层应急管理机构。推进基层应急管理能力标准化建设，开展以有班子、有机制、有预案、有队伍、有物资、有培训演练为主要内容的街道应急管理能力</w:t>
      </w:r>
      <w:r>
        <w:rPr>
          <w:rFonts w:hint="eastAsia" w:eastAsia="仿宋_GB2312"/>
          <w:color w:val="000000"/>
          <w:kern w:val="0"/>
          <w:sz w:val="32"/>
          <w:szCs w:val="32"/>
        </w:rPr>
        <w:t>“</w:t>
      </w:r>
      <w:r>
        <w:rPr>
          <w:rFonts w:eastAsia="仿宋_GB2312"/>
          <w:bCs/>
          <w:color w:val="000000"/>
          <w:sz w:val="32"/>
          <w:szCs w:val="32"/>
        </w:rPr>
        <w:t>六有</w:t>
      </w:r>
      <w:r>
        <w:rPr>
          <w:rFonts w:hint="eastAsia" w:eastAsia="仿宋_GB2312"/>
          <w:color w:val="000000"/>
          <w:kern w:val="0"/>
          <w:sz w:val="32"/>
          <w:szCs w:val="32"/>
        </w:rPr>
        <w:t>”</w:t>
      </w:r>
      <w:r>
        <w:rPr>
          <w:rFonts w:eastAsia="仿宋_GB2312"/>
          <w:bCs/>
          <w:color w:val="000000"/>
          <w:sz w:val="32"/>
          <w:szCs w:val="32"/>
        </w:rPr>
        <w:t>标准化建设。在有条件的社区开展以有场地设施、有装备物资、有工作制度为主要内容的社区应急服务站</w:t>
      </w:r>
      <w:r>
        <w:rPr>
          <w:rFonts w:hint="eastAsia" w:eastAsia="仿宋_GB2312"/>
          <w:color w:val="000000"/>
          <w:kern w:val="0"/>
          <w:sz w:val="32"/>
          <w:szCs w:val="32"/>
        </w:rPr>
        <w:t>“</w:t>
      </w:r>
      <w:r>
        <w:rPr>
          <w:rFonts w:eastAsia="仿宋_GB2312"/>
          <w:bCs/>
          <w:color w:val="000000"/>
          <w:sz w:val="32"/>
          <w:szCs w:val="32"/>
        </w:rPr>
        <w:t>三有</w:t>
      </w:r>
      <w:r>
        <w:rPr>
          <w:rFonts w:hint="eastAsia" w:eastAsia="仿宋_GB2312"/>
          <w:color w:val="000000"/>
          <w:kern w:val="0"/>
          <w:sz w:val="32"/>
          <w:szCs w:val="32"/>
        </w:rPr>
        <w:t>”</w:t>
      </w:r>
      <w:r>
        <w:rPr>
          <w:rFonts w:eastAsia="仿宋_GB2312"/>
          <w:bCs/>
          <w:color w:val="000000"/>
          <w:sz w:val="32"/>
          <w:szCs w:val="32"/>
        </w:rPr>
        <w:t>标准化建设。以社区为基础加强应急管理网格化建设，推动基层</w:t>
      </w:r>
      <w:r>
        <w:rPr>
          <w:rFonts w:hint="eastAsia" w:eastAsia="仿宋_GB2312"/>
          <w:color w:val="000000"/>
          <w:kern w:val="0"/>
          <w:sz w:val="32"/>
          <w:szCs w:val="32"/>
        </w:rPr>
        <w:t>“</w:t>
      </w:r>
      <w:r>
        <w:rPr>
          <w:rFonts w:eastAsia="仿宋_GB2312"/>
          <w:bCs/>
          <w:color w:val="000000"/>
          <w:sz w:val="32"/>
          <w:szCs w:val="32"/>
        </w:rPr>
        <w:t>应急第一响应人</w:t>
      </w:r>
      <w:r>
        <w:rPr>
          <w:rFonts w:hint="eastAsia" w:eastAsia="仿宋_GB2312"/>
          <w:color w:val="000000"/>
          <w:kern w:val="0"/>
          <w:sz w:val="32"/>
          <w:szCs w:val="32"/>
        </w:rPr>
        <w:t>”</w:t>
      </w:r>
      <w:r>
        <w:rPr>
          <w:rFonts w:eastAsia="仿宋_GB2312"/>
          <w:bCs/>
          <w:color w:val="000000"/>
          <w:sz w:val="32"/>
          <w:szCs w:val="32"/>
        </w:rPr>
        <w:t>建设，</w:t>
      </w:r>
      <w:r>
        <w:rPr>
          <w:rFonts w:eastAsia="仿宋_GB2312"/>
          <w:sz w:val="32"/>
          <w:szCs w:val="32"/>
        </w:rPr>
        <w:t>加强网格员应急教育培训，</w:t>
      </w:r>
      <w:r>
        <w:rPr>
          <w:rFonts w:eastAsia="仿宋_GB2312"/>
          <w:bCs/>
          <w:color w:val="000000"/>
          <w:sz w:val="32"/>
          <w:szCs w:val="32"/>
        </w:rPr>
        <w:t>完善社区安全隐患和各灾种信息直报、定期发布机制。定期开展社区应急演练，提高风险快速排查和隐患快速处置能力，打通应急管理</w:t>
      </w:r>
      <w:r>
        <w:rPr>
          <w:rFonts w:hint="eastAsia" w:eastAsia="仿宋_GB2312"/>
          <w:color w:val="000000"/>
          <w:kern w:val="0"/>
          <w:sz w:val="32"/>
          <w:szCs w:val="32"/>
        </w:rPr>
        <w:t>“</w:t>
      </w:r>
      <w:r>
        <w:rPr>
          <w:rFonts w:eastAsia="仿宋_GB2312"/>
          <w:bCs/>
          <w:color w:val="000000"/>
          <w:sz w:val="32"/>
          <w:szCs w:val="32"/>
        </w:rPr>
        <w:t>神经末梢</w:t>
      </w:r>
      <w:r>
        <w:rPr>
          <w:rFonts w:hint="eastAsia" w:eastAsia="仿宋_GB2312"/>
          <w:color w:val="000000"/>
          <w:kern w:val="0"/>
          <w:sz w:val="32"/>
          <w:szCs w:val="32"/>
        </w:rPr>
        <w:t>”</w:t>
      </w:r>
      <w:r>
        <w:rPr>
          <w:rFonts w:eastAsia="仿宋_GB2312"/>
          <w:bCs/>
          <w:color w:val="000000"/>
          <w:sz w:val="32"/>
          <w:szCs w:val="32"/>
        </w:rPr>
        <w:t>。引导社区防灾减灾基础设施有序发展，增强社区综合服务设施应急功能。</w:t>
      </w:r>
    </w:p>
    <w:p>
      <w:pPr>
        <w:pStyle w:val="20"/>
        <w:keepNext w:val="0"/>
        <w:keepLines w:val="0"/>
        <w:adjustRightInd w:val="0"/>
        <w:snapToGrid w:val="0"/>
        <w:ind w:firstLine="640"/>
        <w:rPr>
          <w:rFonts w:ascii="Times New Roman" w:hAnsi="Times New Roman" w:cs="Times New Roman"/>
          <w:color w:val="000000"/>
        </w:rPr>
      </w:pPr>
      <w:r>
        <w:rPr>
          <w:rFonts w:ascii="Times New Roman" w:hAnsi="Times New Roman" w:cs="Times New Roman"/>
          <w:color w:val="000000"/>
        </w:rPr>
        <w:t>13.</w:t>
      </w:r>
      <w:r>
        <w:rPr>
          <w:rFonts w:ascii="Times New Roman" w:hAnsi="Times New Roman" w:eastAsia="仿宋_GB2312" w:cs="Times New Roman"/>
          <w:color w:val="000000"/>
        </w:rPr>
        <w:t>加强应急文化宣传教育</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坚持以促进企业安全文化为重点，发展社会化安全文化为基础，进一步推动安全文化示范企业、安全发展示范城市、全国综合防灾减灾示范社区等建设</w:t>
      </w:r>
      <w:r>
        <w:rPr>
          <w:rFonts w:eastAsia="仿宋_GB2312"/>
          <w:bCs/>
          <w:color w:val="000000"/>
          <w:sz w:val="32"/>
          <w:szCs w:val="32"/>
        </w:rPr>
        <w:t>。</w:t>
      </w:r>
      <w:r>
        <w:rPr>
          <w:rFonts w:eastAsia="仿宋_GB2312"/>
          <w:sz w:val="32"/>
          <w:szCs w:val="32"/>
        </w:rPr>
        <w:t>结合防灾减灾周、安全生产月、消防安全月等</w:t>
      </w:r>
      <w:r>
        <w:rPr>
          <w:rFonts w:hint="eastAsia" w:eastAsia="仿宋_GB2312"/>
          <w:sz w:val="32"/>
          <w:szCs w:val="32"/>
        </w:rPr>
        <w:t>专项活动</w:t>
      </w:r>
      <w:r>
        <w:rPr>
          <w:rFonts w:eastAsia="仿宋_GB2312"/>
          <w:sz w:val="32"/>
          <w:szCs w:val="32"/>
        </w:rPr>
        <w:t>，开展形式多样的宣传教育，普及应急知识，扎实推进安全宣传</w:t>
      </w:r>
      <w:r>
        <w:rPr>
          <w:rFonts w:hint="eastAsia" w:eastAsia="仿宋_GB2312"/>
          <w:color w:val="000000"/>
          <w:kern w:val="0"/>
          <w:sz w:val="32"/>
          <w:szCs w:val="32"/>
        </w:rPr>
        <w:t>“</w:t>
      </w:r>
      <w:r>
        <w:rPr>
          <w:rFonts w:eastAsia="仿宋_GB2312"/>
          <w:sz w:val="32"/>
          <w:szCs w:val="32"/>
        </w:rPr>
        <w:t>五进</w:t>
      </w:r>
      <w:r>
        <w:rPr>
          <w:rFonts w:hint="eastAsia" w:eastAsia="仿宋_GB2312"/>
          <w:color w:val="000000"/>
          <w:kern w:val="0"/>
          <w:sz w:val="32"/>
          <w:szCs w:val="32"/>
        </w:rPr>
        <w:t>”</w:t>
      </w:r>
      <w:r>
        <w:rPr>
          <w:rFonts w:eastAsia="仿宋_GB2312"/>
          <w:sz w:val="32"/>
          <w:szCs w:val="32"/>
        </w:rPr>
        <w:t>工作。</w:t>
      </w:r>
      <w:r>
        <w:rPr>
          <w:rFonts w:eastAsia="仿宋_GB2312"/>
          <w:color w:val="000000"/>
          <w:sz w:val="32"/>
          <w:szCs w:val="32"/>
        </w:rPr>
        <w:t>加强商业区、旅游景区、车站等人员密集场所的安全文化宣传。积极鼓励和引导社会力量参与安全文化产品创作和推广，提升公众安全意识。依托公园等公共场所，开展体验式安全科普教育和市民公共安全应急培训。</w:t>
      </w:r>
    </w:p>
    <w:p>
      <w:pPr>
        <w:pStyle w:val="20"/>
        <w:keepNext w:val="0"/>
        <w:keepLines w:val="0"/>
        <w:adjustRightInd w:val="0"/>
        <w:snapToGrid w:val="0"/>
        <w:ind w:firstLine="640"/>
        <w:rPr>
          <w:rFonts w:ascii="Times New Roman" w:hAnsi="Times New Roman" w:eastAsia="仿宋_GB2312" w:cs="Times New Roman"/>
          <w:color w:val="000000"/>
        </w:rPr>
      </w:pPr>
      <w:r>
        <w:rPr>
          <w:rFonts w:ascii="Times New Roman" w:hAnsi="Times New Roman" w:eastAsia="仿宋_GB2312" w:cs="Times New Roman"/>
          <w:color w:val="000000"/>
        </w:rPr>
        <w:t>14.强化应急管理人才培养</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通过招录、选聘等方式，推进各级各部门应急管理岗位专业人才建设，提升应急管理机构专业人才占比。定期开展领导干部应急管理专业知识培训，重点开展突发事件应急指挥处置、防灾减灾等专题培训。强化危险化学品、建筑施工、道路运输、特种设备等重点领域安全管理人员以及从事特殊作业一线人员安全教育培训。</w:t>
      </w:r>
    </w:p>
    <w:p>
      <w:pPr>
        <w:pStyle w:val="20"/>
        <w:keepNext w:val="0"/>
        <w:keepLines w:val="0"/>
        <w:adjustRightInd w:val="0"/>
        <w:snapToGrid w:val="0"/>
        <w:ind w:firstLine="640"/>
        <w:rPr>
          <w:rFonts w:ascii="Times New Roman" w:hAnsi="Times New Roman" w:eastAsia="仿宋_GB2312" w:cs="Times New Roman"/>
          <w:color w:val="000000"/>
        </w:rPr>
      </w:pPr>
      <w:bookmarkStart w:id="33" w:name="_Toc57216336"/>
      <w:r>
        <w:rPr>
          <w:rFonts w:ascii="Times New Roman" w:hAnsi="Times New Roman" w:eastAsia="仿宋_GB2312" w:cs="Times New Roman"/>
          <w:color w:val="000000"/>
        </w:rPr>
        <w:t>15.发挥市场参与引导作用</w:t>
      </w:r>
      <w:bookmarkEnd w:id="33"/>
    </w:p>
    <w:p>
      <w:pPr>
        <w:adjustRightInd w:val="0"/>
        <w:snapToGrid w:val="0"/>
        <w:spacing w:line="560" w:lineRule="exact"/>
        <w:ind w:firstLine="640" w:firstLineChars="200"/>
        <w:rPr>
          <w:rFonts w:eastAsia="仿宋_GB2312"/>
          <w:bCs/>
          <w:color w:val="000000"/>
          <w:sz w:val="32"/>
          <w:szCs w:val="32"/>
        </w:rPr>
      </w:pPr>
      <w:r>
        <w:rPr>
          <w:rFonts w:eastAsia="仿宋_GB2312"/>
          <w:color w:val="000000"/>
          <w:sz w:val="32"/>
          <w:szCs w:val="32"/>
        </w:rPr>
        <w:t>积极发展第三方技术服务，加强技术服务机构监管，鼓励社会技术服务机构参与应急管理及安全生产工作。充分发挥金融、保险等市场机制作用，适时推进灾害保险政策，探索自然灾害巨灾保险</w:t>
      </w:r>
      <w:r>
        <w:rPr>
          <w:rFonts w:hint="eastAsia" w:eastAsia="仿宋_GB2312"/>
          <w:color w:val="000000"/>
          <w:sz w:val="32"/>
          <w:szCs w:val="32"/>
        </w:rPr>
        <w:t>和</w:t>
      </w:r>
      <w:r>
        <w:rPr>
          <w:rFonts w:eastAsia="仿宋_GB2312"/>
          <w:color w:val="000000"/>
          <w:sz w:val="32"/>
          <w:szCs w:val="32"/>
        </w:rPr>
        <w:t>再保险制度，鼓励引导企业、家庭投保灾害保险，建立灾害风险保险档案，不断提高灾害风险管理水平。重点行业领域全面实施安全生产责任保险，切实发挥保险机构参与事故预防功能。</w:t>
      </w:r>
      <w:r>
        <w:rPr>
          <w:rFonts w:eastAsia="仿宋_GB2312"/>
          <w:sz w:val="32"/>
          <w:szCs w:val="32"/>
        </w:rPr>
        <w:t>实施应急救援人员人身意外保险，加强救援人员安全保障。实行企业安全生产信用风险分类管理制度，建立企业安全生产信用修复机制。完善企业安全生产诚信、承诺公告、举报奖励、公开公示等制度，</w:t>
      </w:r>
      <w:r>
        <w:rPr>
          <w:rFonts w:eastAsia="仿宋_GB2312"/>
          <w:color w:val="000000"/>
          <w:sz w:val="32"/>
          <w:szCs w:val="32"/>
        </w:rPr>
        <w:t>建立健全区应急物资采购、紧急征用、紧急运输等应急领域诚信制度和信用记录，强化失信惩戒和守信激励。</w:t>
      </w:r>
    </w:p>
    <w:bookmarkEnd w:id="31"/>
    <w:p>
      <w:pPr>
        <w:pStyle w:val="2"/>
        <w:keepNext w:val="0"/>
        <w:keepLines w:val="0"/>
        <w:adjustRightInd w:val="0"/>
        <w:snapToGrid w:val="0"/>
        <w:spacing w:before="0" w:after="0" w:line="560" w:lineRule="exact"/>
        <w:ind w:firstLine="640" w:firstLineChars="200"/>
        <w:rPr>
          <w:rFonts w:ascii="Times New Roman" w:hAnsi="Times New Roman" w:eastAsia="黑体"/>
          <w:b w:val="0"/>
          <w:bCs w:val="0"/>
          <w:color w:val="000000"/>
          <w:sz w:val="32"/>
          <w:szCs w:val="32"/>
        </w:rPr>
      </w:pPr>
      <w:bookmarkStart w:id="34" w:name="_Toc444688219"/>
      <w:bookmarkStart w:id="35" w:name="_Toc46919156"/>
      <w:bookmarkStart w:id="36" w:name="_Toc31401"/>
      <w:bookmarkStart w:id="37" w:name="_Toc446854075"/>
      <w:bookmarkStart w:id="38" w:name="_Toc448397346"/>
      <w:r>
        <w:rPr>
          <w:rFonts w:ascii="Times New Roman" w:hAnsi="Times New Roman" w:eastAsia="黑体"/>
          <w:b w:val="0"/>
          <w:bCs w:val="0"/>
          <w:color w:val="000000"/>
          <w:sz w:val="32"/>
          <w:szCs w:val="32"/>
        </w:rPr>
        <w:t>四、重点</w:t>
      </w:r>
      <w:bookmarkEnd w:id="34"/>
      <w:bookmarkEnd w:id="35"/>
      <w:bookmarkEnd w:id="36"/>
      <w:bookmarkEnd w:id="37"/>
      <w:bookmarkEnd w:id="38"/>
      <w:r>
        <w:rPr>
          <w:rFonts w:ascii="Times New Roman" w:hAnsi="Times New Roman" w:eastAsia="黑体"/>
          <w:b w:val="0"/>
          <w:bCs w:val="0"/>
          <w:color w:val="000000"/>
          <w:sz w:val="32"/>
          <w:szCs w:val="32"/>
        </w:rPr>
        <w:t>工程</w:t>
      </w:r>
    </w:p>
    <w:p>
      <w:pPr>
        <w:pStyle w:val="3"/>
        <w:keepNext w:val="0"/>
        <w:keepLines w:val="0"/>
        <w:adjustRightInd w:val="0"/>
        <w:snapToGrid w:val="0"/>
        <w:spacing w:before="0" w:after="0" w:line="560" w:lineRule="exact"/>
        <w:ind w:firstLine="640" w:firstLineChars="200"/>
        <w:rPr>
          <w:rFonts w:ascii="Times New Roman" w:hAnsi="Times New Roman" w:eastAsia="楷体_GB2312"/>
          <w:b w:val="0"/>
          <w:color w:val="000000"/>
          <w:kern w:val="0"/>
        </w:rPr>
      </w:pPr>
      <w:bookmarkStart w:id="39" w:name="_Toc46919158"/>
      <w:bookmarkStart w:id="40" w:name="_Toc22504"/>
      <w:bookmarkStart w:id="41" w:name="_Toc448397347"/>
      <w:bookmarkStart w:id="42" w:name="_Toc446854076"/>
      <w:r>
        <w:rPr>
          <w:rFonts w:ascii="Times New Roman" w:hAnsi="Times New Roman" w:eastAsia="楷体_GB2312"/>
          <w:b w:val="0"/>
          <w:color w:val="000000"/>
          <w:kern w:val="0"/>
        </w:rPr>
        <w:t>（一）应急避难场所建设工程</w:t>
      </w:r>
      <w:bookmarkEnd w:id="39"/>
    </w:p>
    <w:p>
      <w:pPr>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根据区域人口分布、城市布局、区域特点和灾害特征，充分利用现有公园、广场、绿地、体育场馆、社区广场、人防工程等，结合全区常住人口数量，按照</w:t>
      </w:r>
      <w:r>
        <w:rPr>
          <w:rFonts w:hint="eastAsia" w:eastAsia="仿宋_GB2312"/>
          <w:color w:val="000000"/>
          <w:kern w:val="0"/>
          <w:sz w:val="32"/>
          <w:szCs w:val="32"/>
        </w:rPr>
        <w:t>“</w:t>
      </w:r>
      <w:r>
        <w:rPr>
          <w:rFonts w:eastAsia="仿宋_GB2312"/>
          <w:color w:val="000000"/>
          <w:kern w:val="0"/>
          <w:sz w:val="32"/>
          <w:szCs w:val="32"/>
        </w:rPr>
        <w:t>统一规划、平灾结合、因地制宜、就近疏散、安全与通达</w:t>
      </w:r>
      <w:r>
        <w:rPr>
          <w:rFonts w:hint="eastAsia" w:eastAsia="仿宋_GB2312"/>
          <w:color w:val="000000"/>
          <w:kern w:val="0"/>
          <w:sz w:val="32"/>
          <w:szCs w:val="32"/>
        </w:rPr>
        <w:t>”</w:t>
      </w:r>
      <w:r>
        <w:rPr>
          <w:rFonts w:eastAsia="仿宋_GB2312"/>
          <w:color w:val="000000"/>
          <w:kern w:val="0"/>
          <w:sz w:val="32"/>
          <w:szCs w:val="32"/>
        </w:rPr>
        <w:t>的原则加快推动应急避难场所建设，建成3处以上中心或固定应急避难场所。逐步提升新建、改建应急避难场所配套设施，在全区建设1个设施齐全的标准化应急避难场所。</w:t>
      </w:r>
    </w:p>
    <w:p>
      <w:pPr>
        <w:pStyle w:val="3"/>
        <w:keepNext w:val="0"/>
        <w:keepLines w:val="0"/>
        <w:adjustRightInd w:val="0"/>
        <w:snapToGrid w:val="0"/>
        <w:spacing w:before="0" w:after="0" w:line="560" w:lineRule="exact"/>
        <w:ind w:firstLine="640" w:firstLineChars="200"/>
        <w:rPr>
          <w:rFonts w:ascii="Times New Roman" w:hAnsi="Times New Roman" w:eastAsia="楷体_GB2312"/>
          <w:b w:val="0"/>
          <w:kern w:val="0"/>
        </w:rPr>
      </w:pPr>
      <w:r>
        <w:rPr>
          <w:rFonts w:ascii="Times New Roman" w:hAnsi="Times New Roman" w:eastAsia="楷体_GB2312"/>
          <w:b w:val="0"/>
          <w:color w:val="000000"/>
          <w:kern w:val="0"/>
        </w:rPr>
        <w:t>（二）</w:t>
      </w:r>
      <w:r>
        <w:rPr>
          <w:rFonts w:ascii="Times New Roman" w:hAnsi="Times New Roman" w:eastAsia="楷体_GB2312"/>
          <w:b w:val="0"/>
          <w:kern w:val="0"/>
        </w:rPr>
        <w:t>基层应急管理能力建设工程</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实施基层应急管理能力提升工程，为基层应急管理机构配备常用应急救援装备和个体防护装备。开展基层各级领导干部应急专业知识培训。整合基层各类应急信息系统或网络平台，提升基层风险监测预警能力。建立基层应急物资储备清单，在有条件的街道设立应急物资储备站点。</w:t>
      </w:r>
    </w:p>
    <w:p>
      <w:pPr>
        <w:pStyle w:val="3"/>
        <w:keepNext w:val="0"/>
        <w:keepLines w:val="0"/>
        <w:adjustRightInd w:val="0"/>
        <w:snapToGrid w:val="0"/>
        <w:spacing w:before="0" w:after="0" w:line="560" w:lineRule="exact"/>
        <w:ind w:firstLine="640" w:firstLineChars="200"/>
        <w:rPr>
          <w:rFonts w:ascii="Times New Roman" w:hAnsi="Times New Roman" w:eastAsia="楷体_GB2312"/>
          <w:b w:val="0"/>
          <w:color w:val="000000"/>
          <w:kern w:val="0"/>
        </w:rPr>
      </w:pPr>
      <w:r>
        <w:rPr>
          <w:rFonts w:ascii="Times New Roman" w:hAnsi="Times New Roman" w:eastAsia="楷体_GB2312"/>
          <w:b w:val="0"/>
          <w:color w:val="000000"/>
          <w:kern w:val="0"/>
        </w:rPr>
        <w:t>（三）</w:t>
      </w:r>
      <w:bookmarkStart w:id="43" w:name="_Toc47116242"/>
      <w:r>
        <w:rPr>
          <w:rFonts w:ascii="Times New Roman" w:hAnsi="Times New Roman" w:eastAsia="楷体_GB2312"/>
          <w:b w:val="0"/>
          <w:color w:val="000000"/>
          <w:kern w:val="0"/>
        </w:rPr>
        <w:t>公众科普宣教能力建设</w:t>
      </w:r>
      <w:bookmarkEnd w:id="43"/>
      <w:r>
        <w:rPr>
          <w:rFonts w:ascii="Times New Roman" w:hAnsi="Times New Roman" w:eastAsia="楷体_GB2312"/>
          <w:b w:val="0"/>
          <w:color w:val="000000"/>
          <w:kern w:val="0"/>
        </w:rPr>
        <w:t>工程</w:t>
      </w:r>
    </w:p>
    <w:p>
      <w:pPr>
        <w:adjustRightInd w:val="0"/>
        <w:snapToGrid w:val="0"/>
        <w:spacing w:line="440" w:lineRule="exact"/>
        <w:ind w:firstLine="640" w:firstLineChars="200"/>
        <w:rPr>
          <w:rFonts w:eastAsia="仿宋_GB2312"/>
          <w:color w:val="000000"/>
          <w:kern w:val="0"/>
          <w:sz w:val="32"/>
          <w:szCs w:val="32"/>
        </w:rPr>
      </w:pPr>
      <w:r>
        <w:rPr>
          <w:rFonts w:eastAsia="仿宋_GB2312"/>
          <w:color w:val="000000"/>
          <w:kern w:val="0"/>
          <w:sz w:val="32"/>
          <w:szCs w:val="32"/>
        </w:rPr>
        <w:t>建立标准化应急知识科普资源库，定期向公众宣传应急科普知识。依托学校图书馆、休闲广场、休闲公园、社区活动室等公共场所，建立安全生产及应急管理示范</w:t>
      </w:r>
      <w:r>
        <w:rPr>
          <w:rFonts w:hint="eastAsia" w:eastAsia="仿宋_GB2312"/>
          <w:color w:val="000000"/>
          <w:kern w:val="0"/>
          <w:sz w:val="32"/>
          <w:szCs w:val="32"/>
        </w:rPr>
        <w:t>阵地</w:t>
      </w:r>
      <w:r>
        <w:rPr>
          <w:rFonts w:eastAsia="仿宋_GB2312"/>
          <w:color w:val="000000"/>
          <w:kern w:val="0"/>
          <w:sz w:val="32"/>
          <w:szCs w:val="32"/>
        </w:rPr>
        <w:t>，通过张贴应急科普宣传挂图、印发应急科普知识手册、举办安全文化文艺演出活动等多种途径，让应急文化走向公众。</w:t>
      </w:r>
    </w:p>
    <w:bookmarkEnd w:id="40"/>
    <w:bookmarkEnd w:id="41"/>
    <w:bookmarkEnd w:id="42"/>
    <w:p>
      <w:pPr>
        <w:pStyle w:val="2"/>
        <w:keepNext w:val="0"/>
        <w:keepLines w:val="0"/>
        <w:adjustRightInd w:val="0"/>
        <w:snapToGrid w:val="0"/>
        <w:spacing w:before="0" w:after="0" w:line="440" w:lineRule="exact"/>
        <w:ind w:firstLine="640" w:firstLineChars="200"/>
        <w:rPr>
          <w:rFonts w:ascii="Times New Roman" w:hAnsi="Times New Roman" w:eastAsia="黑体"/>
          <w:b w:val="0"/>
          <w:bCs w:val="0"/>
          <w:color w:val="000000"/>
          <w:sz w:val="32"/>
          <w:szCs w:val="32"/>
        </w:rPr>
      </w:pPr>
      <w:bookmarkStart w:id="44" w:name="_Toc446854086"/>
      <w:bookmarkStart w:id="45" w:name="_Toc444688230"/>
      <w:bookmarkStart w:id="46" w:name="_Toc15976"/>
      <w:bookmarkStart w:id="47" w:name="_Toc448397357"/>
      <w:bookmarkStart w:id="48" w:name="_Toc46919172"/>
      <w:r>
        <w:rPr>
          <w:rFonts w:ascii="Times New Roman" w:hAnsi="Times New Roman" w:eastAsia="黑体"/>
          <w:b w:val="0"/>
          <w:bCs w:val="0"/>
          <w:color w:val="000000"/>
          <w:sz w:val="32"/>
          <w:szCs w:val="32"/>
        </w:rPr>
        <w:t>五、保障措施</w:t>
      </w:r>
      <w:bookmarkEnd w:id="44"/>
      <w:bookmarkEnd w:id="45"/>
      <w:bookmarkEnd w:id="46"/>
      <w:bookmarkEnd w:id="47"/>
      <w:bookmarkEnd w:id="48"/>
    </w:p>
    <w:p>
      <w:pPr>
        <w:adjustRightInd w:val="0"/>
        <w:snapToGrid w:val="0"/>
        <w:spacing w:line="440" w:lineRule="exact"/>
        <w:ind w:firstLine="640" w:firstLineChars="200"/>
        <w:rPr>
          <w:rFonts w:eastAsia="仿宋_GB2312"/>
          <w:color w:val="000000"/>
          <w:kern w:val="0"/>
          <w:sz w:val="32"/>
          <w:szCs w:val="32"/>
        </w:rPr>
      </w:pPr>
      <w:r>
        <w:rPr>
          <w:rFonts w:eastAsia="楷体_GB2312"/>
          <w:bCs/>
          <w:color w:val="000000"/>
          <w:kern w:val="0"/>
          <w:sz w:val="32"/>
          <w:szCs w:val="32"/>
        </w:rPr>
        <w:t>（一）加强组织领导。</w:t>
      </w:r>
      <w:r>
        <w:rPr>
          <w:rFonts w:eastAsia="仿宋_GB2312"/>
          <w:color w:val="000000"/>
          <w:kern w:val="0"/>
          <w:sz w:val="32"/>
          <w:szCs w:val="32"/>
        </w:rPr>
        <w:t>各部门、各街道要根据本规划要求，结合实际制定实施方案，落实责任主体，加强规划实施与年度计划的衔接，明确规划各项任务的推进计划、时间节点和阶段目标。健全跨地区、跨部门规划实施协同配合机制，密切工作联系、强化统筹协调，确保规划实施有序推进、确保重大举措有效落地，确保各项目标如期实现。</w:t>
      </w:r>
    </w:p>
    <w:p>
      <w:pPr>
        <w:adjustRightInd w:val="0"/>
        <w:snapToGrid w:val="0"/>
        <w:spacing w:line="440" w:lineRule="exact"/>
        <w:ind w:firstLine="640" w:firstLineChars="200"/>
        <w:rPr>
          <w:rFonts w:eastAsia="仿宋_GB2312"/>
          <w:color w:val="000000"/>
          <w:kern w:val="0"/>
          <w:sz w:val="32"/>
          <w:szCs w:val="32"/>
        </w:rPr>
      </w:pPr>
      <w:r>
        <w:rPr>
          <w:rFonts w:eastAsia="楷体_GB2312"/>
          <w:bCs/>
          <w:color w:val="000000"/>
          <w:kern w:val="0"/>
          <w:sz w:val="32"/>
          <w:szCs w:val="32"/>
        </w:rPr>
        <w:t>（二）加大资金投入。</w:t>
      </w:r>
      <w:r>
        <w:rPr>
          <w:rFonts w:eastAsia="仿宋_GB2312"/>
          <w:color w:val="000000"/>
          <w:kern w:val="0"/>
          <w:sz w:val="32"/>
          <w:szCs w:val="32"/>
        </w:rPr>
        <w:t>把应急管理纳入同级政府发展规划和财政预算，建立健全应急管理资金多元投入机制，统筹发挥政府资金、市场资金、捐助资金、公益基金作用；加大对应急管理重点项目投入力度，保障区内重特大突发事件应急处置和应急管理重点项目的经费需求。坚持专款专用、滚动使用、严审慎用。</w:t>
      </w:r>
    </w:p>
    <w:p>
      <w:pPr>
        <w:adjustRightInd w:val="0"/>
        <w:snapToGrid w:val="0"/>
        <w:spacing w:line="440" w:lineRule="exact"/>
        <w:ind w:firstLine="640" w:firstLineChars="200"/>
        <w:rPr>
          <w:rFonts w:eastAsia="仿宋_GB2312"/>
          <w:sz w:val="32"/>
          <w:szCs w:val="32"/>
        </w:rPr>
      </w:pPr>
      <w:r>
        <w:rPr>
          <w:rFonts w:eastAsia="楷体_GB2312"/>
          <w:bCs/>
          <w:color w:val="000000"/>
          <w:kern w:val="0"/>
          <w:sz w:val="32"/>
          <w:szCs w:val="32"/>
        </w:rPr>
        <w:t>（三）强化贯彻落实。</w:t>
      </w:r>
      <w:r>
        <w:rPr>
          <w:rFonts w:eastAsia="仿宋_GB2312"/>
          <w:color w:val="000000"/>
          <w:kern w:val="0"/>
          <w:sz w:val="32"/>
          <w:szCs w:val="32"/>
        </w:rPr>
        <w:t>区应急局建立规划实施跟踪评估制度，做好本规划的任务分解，明确规划实施主体责任，适时开展规划实施评估和监督检查，推动规划目标、主要任务、重点工程的全面实现。各部门按照职责分工加强对本规划相关内容落实情况的监督检查和评估。</w:t>
      </w:r>
    </w:p>
    <w:p>
      <w:pPr>
        <w:spacing w:line="540" w:lineRule="exact"/>
        <w:ind w:firstLine="640" w:firstLineChars="200"/>
        <w:rPr>
          <w:rFonts w:ascii="楷体_GB2312" w:hAnsi="楷体_GB2312" w:eastAsia="楷体_GB2312" w:cs="楷体_GB2312"/>
          <w:sz w:val="32"/>
          <w:szCs w:val="32"/>
        </w:rPr>
      </w:pPr>
      <w:bookmarkStart w:id="49" w:name="_GoBack"/>
      <w:bookmarkEnd w:id="49"/>
    </w:p>
    <w:sectPr>
      <w:footerReference r:id="rId3" w:type="default"/>
      <w:footerReference r:id="rId4" w:type="even"/>
      <w:pgSz w:w="11906" w:h="16838"/>
      <w:pgMar w:top="2098" w:right="1474" w:bottom="1985" w:left="1588"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小标宋">
    <w:altName w:val="Arial Unicode MS"/>
    <w:panose1 w:val="00000000000000000000"/>
    <w:charset w:val="00"/>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文星黑体">
    <w:altName w:val="黑体"/>
    <w:panose1 w:val="0201060900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A0000287" w:usb1="28C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pict>
        <v:shape id="文本框 5" o:spid="_x0000_s2050" o:spt="202" type="#_x0000_t202" style="position:absolute;left:0pt;margin-top:0pt;height:16.1pt;width:42.05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10PZMkBAACZAwAADgAAAGRycy9lMm9Eb2MueG1srVPNjtMwEL4j8Q6W&#10;79TZSqy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5&#10;m+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3XQ9kyQEAAJkDAAAOAAAAAAAAAAEAIAAAAB4BAABkcnMvZTJvRG9j&#10;LnhtbFBLBQYAAAAABgAGAFkBAABZBQAAAAA=&#10;">
          <v:path/>
          <v:fill on="f" focussize="0,0"/>
          <v:stroke on="f" joinstyle="miter"/>
          <v:imagedata o:title=""/>
          <o:lock v:ext="edit"/>
          <v:textbox inset="0mm,0mm,0mm,0mm" style="mso-fit-shape-to-text:t;">
            <w:txbxContent>
              <w:p>
                <w:pPr>
                  <w:pStyle w:val="6"/>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pict>
        <v:shape id="文本框 6" o:spid="_x0000_s2049"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WxHmXIAQAAmQMAAA4AAAAAAAAAAQAgAAAAHgEAAGRycy9lMm9Eb2Mu&#10;eG1sUEsFBgAAAAAGAAYAWQEAAFgFAAAAAA==&#10;">
          <v:path/>
          <v:fill on="f" focussize="0,0"/>
          <v:stroke on="f"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C3B82"/>
    <w:rsid w:val="00003487"/>
    <w:rsid w:val="00007A5A"/>
    <w:rsid w:val="00014269"/>
    <w:rsid w:val="000171DC"/>
    <w:rsid w:val="00031058"/>
    <w:rsid w:val="00045584"/>
    <w:rsid w:val="00052625"/>
    <w:rsid w:val="000566AC"/>
    <w:rsid w:val="00067BF3"/>
    <w:rsid w:val="00072585"/>
    <w:rsid w:val="0007437E"/>
    <w:rsid w:val="00076F2A"/>
    <w:rsid w:val="000811F6"/>
    <w:rsid w:val="00085EB9"/>
    <w:rsid w:val="000A42A4"/>
    <w:rsid w:val="000A6B23"/>
    <w:rsid w:val="000B5F02"/>
    <w:rsid w:val="000C0399"/>
    <w:rsid w:val="000C555E"/>
    <w:rsid w:val="000C778E"/>
    <w:rsid w:val="000E14DB"/>
    <w:rsid w:val="00102C7C"/>
    <w:rsid w:val="00104ECE"/>
    <w:rsid w:val="00106423"/>
    <w:rsid w:val="001132F1"/>
    <w:rsid w:val="00133B18"/>
    <w:rsid w:val="001544C0"/>
    <w:rsid w:val="00155A01"/>
    <w:rsid w:val="00161022"/>
    <w:rsid w:val="00177849"/>
    <w:rsid w:val="00186B4C"/>
    <w:rsid w:val="00190CEA"/>
    <w:rsid w:val="00193743"/>
    <w:rsid w:val="00197A69"/>
    <w:rsid w:val="001A249A"/>
    <w:rsid w:val="001B7CB9"/>
    <w:rsid w:val="001D0938"/>
    <w:rsid w:val="001D7556"/>
    <w:rsid w:val="001E0F7E"/>
    <w:rsid w:val="00202C02"/>
    <w:rsid w:val="0020516F"/>
    <w:rsid w:val="0020624A"/>
    <w:rsid w:val="00206BBA"/>
    <w:rsid w:val="00210842"/>
    <w:rsid w:val="00232274"/>
    <w:rsid w:val="00241BC2"/>
    <w:rsid w:val="002428DF"/>
    <w:rsid w:val="002453CF"/>
    <w:rsid w:val="00256968"/>
    <w:rsid w:val="00260E3F"/>
    <w:rsid w:val="0026110B"/>
    <w:rsid w:val="00274163"/>
    <w:rsid w:val="00275C4A"/>
    <w:rsid w:val="00275E5F"/>
    <w:rsid w:val="002908E5"/>
    <w:rsid w:val="00291C27"/>
    <w:rsid w:val="002979D6"/>
    <w:rsid w:val="002A1DF9"/>
    <w:rsid w:val="002A242A"/>
    <w:rsid w:val="002D13CA"/>
    <w:rsid w:val="002D147E"/>
    <w:rsid w:val="002D3C34"/>
    <w:rsid w:val="002F533F"/>
    <w:rsid w:val="002F5DBE"/>
    <w:rsid w:val="002F6439"/>
    <w:rsid w:val="00304BAF"/>
    <w:rsid w:val="003052D7"/>
    <w:rsid w:val="00305C56"/>
    <w:rsid w:val="00306757"/>
    <w:rsid w:val="0030739A"/>
    <w:rsid w:val="00323EB6"/>
    <w:rsid w:val="00326C86"/>
    <w:rsid w:val="00327121"/>
    <w:rsid w:val="00333C7B"/>
    <w:rsid w:val="00335DA5"/>
    <w:rsid w:val="0034197D"/>
    <w:rsid w:val="00343444"/>
    <w:rsid w:val="00356246"/>
    <w:rsid w:val="00362283"/>
    <w:rsid w:val="003670F0"/>
    <w:rsid w:val="00374CBA"/>
    <w:rsid w:val="003812F1"/>
    <w:rsid w:val="003834DC"/>
    <w:rsid w:val="003879B7"/>
    <w:rsid w:val="003967BD"/>
    <w:rsid w:val="00396BA8"/>
    <w:rsid w:val="003C3B82"/>
    <w:rsid w:val="003C3DC3"/>
    <w:rsid w:val="003D75CC"/>
    <w:rsid w:val="003E624C"/>
    <w:rsid w:val="00440DEF"/>
    <w:rsid w:val="00441A15"/>
    <w:rsid w:val="0045367A"/>
    <w:rsid w:val="00467D24"/>
    <w:rsid w:val="0048349E"/>
    <w:rsid w:val="00487C54"/>
    <w:rsid w:val="004918C9"/>
    <w:rsid w:val="004A0041"/>
    <w:rsid w:val="004A6B5B"/>
    <w:rsid w:val="004B5B91"/>
    <w:rsid w:val="004C148B"/>
    <w:rsid w:val="004D3F06"/>
    <w:rsid w:val="004D5CA7"/>
    <w:rsid w:val="004D60CF"/>
    <w:rsid w:val="004F13BE"/>
    <w:rsid w:val="005006C0"/>
    <w:rsid w:val="00502EE7"/>
    <w:rsid w:val="00505DFA"/>
    <w:rsid w:val="00511BC4"/>
    <w:rsid w:val="00514B28"/>
    <w:rsid w:val="00521907"/>
    <w:rsid w:val="00521F9E"/>
    <w:rsid w:val="00527004"/>
    <w:rsid w:val="005300FF"/>
    <w:rsid w:val="00541304"/>
    <w:rsid w:val="005524E0"/>
    <w:rsid w:val="00567D08"/>
    <w:rsid w:val="005774E4"/>
    <w:rsid w:val="00584EAE"/>
    <w:rsid w:val="00595B08"/>
    <w:rsid w:val="005972BD"/>
    <w:rsid w:val="005A1323"/>
    <w:rsid w:val="005A61AD"/>
    <w:rsid w:val="005B77EF"/>
    <w:rsid w:val="005C40B0"/>
    <w:rsid w:val="005C6730"/>
    <w:rsid w:val="005D12C8"/>
    <w:rsid w:val="005D6F95"/>
    <w:rsid w:val="005E2778"/>
    <w:rsid w:val="006007C8"/>
    <w:rsid w:val="00603518"/>
    <w:rsid w:val="00641E84"/>
    <w:rsid w:val="006530F9"/>
    <w:rsid w:val="00674AA0"/>
    <w:rsid w:val="00687178"/>
    <w:rsid w:val="00694BC3"/>
    <w:rsid w:val="006A432F"/>
    <w:rsid w:val="006B5319"/>
    <w:rsid w:val="006B6F73"/>
    <w:rsid w:val="006D12CC"/>
    <w:rsid w:val="006D6417"/>
    <w:rsid w:val="006E4994"/>
    <w:rsid w:val="006F327A"/>
    <w:rsid w:val="00700BCD"/>
    <w:rsid w:val="0071230D"/>
    <w:rsid w:val="007163AA"/>
    <w:rsid w:val="00743EAC"/>
    <w:rsid w:val="007758E1"/>
    <w:rsid w:val="0078127D"/>
    <w:rsid w:val="00785047"/>
    <w:rsid w:val="00786387"/>
    <w:rsid w:val="007B2B46"/>
    <w:rsid w:val="007D02DD"/>
    <w:rsid w:val="007D1233"/>
    <w:rsid w:val="007D376D"/>
    <w:rsid w:val="007D4E83"/>
    <w:rsid w:val="007D52B2"/>
    <w:rsid w:val="007D6B60"/>
    <w:rsid w:val="007E63FD"/>
    <w:rsid w:val="007F1B80"/>
    <w:rsid w:val="00817FF3"/>
    <w:rsid w:val="00821C1D"/>
    <w:rsid w:val="008223BC"/>
    <w:rsid w:val="00823F04"/>
    <w:rsid w:val="00827975"/>
    <w:rsid w:val="00830235"/>
    <w:rsid w:val="00845856"/>
    <w:rsid w:val="00855AE4"/>
    <w:rsid w:val="0086674C"/>
    <w:rsid w:val="00876961"/>
    <w:rsid w:val="00876C9B"/>
    <w:rsid w:val="008A47E8"/>
    <w:rsid w:val="008E008E"/>
    <w:rsid w:val="008E3038"/>
    <w:rsid w:val="008F4778"/>
    <w:rsid w:val="00903794"/>
    <w:rsid w:val="009330D8"/>
    <w:rsid w:val="009464FB"/>
    <w:rsid w:val="009522A7"/>
    <w:rsid w:val="0096458B"/>
    <w:rsid w:val="00964867"/>
    <w:rsid w:val="0097713A"/>
    <w:rsid w:val="009801B0"/>
    <w:rsid w:val="00985157"/>
    <w:rsid w:val="0098631C"/>
    <w:rsid w:val="00993E5A"/>
    <w:rsid w:val="009A57C3"/>
    <w:rsid w:val="009A5A30"/>
    <w:rsid w:val="009B1E54"/>
    <w:rsid w:val="009C7C14"/>
    <w:rsid w:val="009D066E"/>
    <w:rsid w:val="009D1AA8"/>
    <w:rsid w:val="009D2AF9"/>
    <w:rsid w:val="009D6CD5"/>
    <w:rsid w:val="009D7F80"/>
    <w:rsid w:val="009E1F27"/>
    <w:rsid w:val="009E3855"/>
    <w:rsid w:val="009E479F"/>
    <w:rsid w:val="00A4320A"/>
    <w:rsid w:val="00A46A24"/>
    <w:rsid w:val="00A55D28"/>
    <w:rsid w:val="00A619EE"/>
    <w:rsid w:val="00A76C0C"/>
    <w:rsid w:val="00A82856"/>
    <w:rsid w:val="00A85E00"/>
    <w:rsid w:val="00A90112"/>
    <w:rsid w:val="00A90435"/>
    <w:rsid w:val="00AB6A31"/>
    <w:rsid w:val="00AD110C"/>
    <w:rsid w:val="00AE5D82"/>
    <w:rsid w:val="00B05016"/>
    <w:rsid w:val="00B1180C"/>
    <w:rsid w:val="00B25657"/>
    <w:rsid w:val="00B33F27"/>
    <w:rsid w:val="00B80161"/>
    <w:rsid w:val="00B912FE"/>
    <w:rsid w:val="00BA078E"/>
    <w:rsid w:val="00BB345C"/>
    <w:rsid w:val="00BB3ABB"/>
    <w:rsid w:val="00BB60D5"/>
    <w:rsid w:val="00BC4F9B"/>
    <w:rsid w:val="00BD41B2"/>
    <w:rsid w:val="00BD6343"/>
    <w:rsid w:val="00BD7D53"/>
    <w:rsid w:val="00BE2381"/>
    <w:rsid w:val="00BE3D7B"/>
    <w:rsid w:val="00BE4590"/>
    <w:rsid w:val="00BE4BB0"/>
    <w:rsid w:val="00BE4F44"/>
    <w:rsid w:val="00BF3A82"/>
    <w:rsid w:val="00C07FCF"/>
    <w:rsid w:val="00C157CA"/>
    <w:rsid w:val="00C2236A"/>
    <w:rsid w:val="00C25F85"/>
    <w:rsid w:val="00C35BC7"/>
    <w:rsid w:val="00C41194"/>
    <w:rsid w:val="00C54F00"/>
    <w:rsid w:val="00C616AA"/>
    <w:rsid w:val="00C662BB"/>
    <w:rsid w:val="00C860A4"/>
    <w:rsid w:val="00C9144B"/>
    <w:rsid w:val="00C94808"/>
    <w:rsid w:val="00C94B83"/>
    <w:rsid w:val="00CD0700"/>
    <w:rsid w:val="00CE7874"/>
    <w:rsid w:val="00CF12E3"/>
    <w:rsid w:val="00CF5F78"/>
    <w:rsid w:val="00D02821"/>
    <w:rsid w:val="00D03191"/>
    <w:rsid w:val="00D13930"/>
    <w:rsid w:val="00D203D5"/>
    <w:rsid w:val="00D31062"/>
    <w:rsid w:val="00D42D12"/>
    <w:rsid w:val="00D44964"/>
    <w:rsid w:val="00D57E17"/>
    <w:rsid w:val="00D623CA"/>
    <w:rsid w:val="00D674A4"/>
    <w:rsid w:val="00D73ABE"/>
    <w:rsid w:val="00D82477"/>
    <w:rsid w:val="00D841D8"/>
    <w:rsid w:val="00D84251"/>
    <w:rsid w:val="00D927D4"/>
    <w:rsid w:val="00DB20B8"/>
    <w:rsid w:val="00DC6C36"/>
    <w:rsid w:val="00DD3DC0"/>
    <w:rsid w:val="00DD4401"/>
    <w:rsid w:val="00DD700A"/>
    <w:rsid w:val="00DE3DF1"/>
    <w:rsid w:val="00E07AF1"/>
    <w:rsid w:val="00E14ADD"/>
    <w:rsid w:val="00E53FD3"/>
    <w:rsid w:val="00E75CD5"/>
    <w:rsid w:val="00EC70B7"/>
    <w:rsid w:val="00ED24D4"/>
    <w:rsid w:val="00ED52B3"/>
    <w:rsid w:val="00EE33B0"/>
    <w:rsid w:val="00EE7845"/>
    <w:rsid w:val="00F14768"/>
    <w:rsid w:val="00F20B7A"/>
    <w:rsid w:val="00F243F6"/>
    <w:rsid w:val="00F3281E"/>
    <w:rsid w:val="00F43010"/>
    <w:rsid w:val="00F47F64"/>
    <w:rsid w:val="00F63A53"/>
    <w:rsid w:val="00F67CA3"/>
    <w:rsid w:val="00F72920"/>
    <w:rsid w:val="00F72B31"/>
    <w:rsid w:val="00F8425E"/>
    <w:rsid w:val="00F862C6"/>
    <w:rsid w:val="00F86A1A"/>
    <w:rsid w:val="00F92B9F"/>
    <w:rsid w:val="00FA17A8"/>
    <w:rsid w:val="00FC3E18"/>
    <w:rsid w:val="00FD3B34"/>
    <w:rsid w:val="00FF1E5F"/>
    <w:rsid w:val="22FB65DD"/>
    <w:rsid w:val="2FF635FB"/>
    <w:rsid w:val="326D64E6"/>
    <w:rsid w:val="5F7F7B9E"/>
    <w:rsid w:val="674643FE"/>
    <w:rsid w:val="6B521D12"/>
    <w:rsid w:val="778D70CB"/>
    <w:rsid w:val="7AEF026D"/>
    <w:rsid w:val="7DED3228"/>
    <w:rsid w:val="7ED11A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18"/>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7"/>
    <w:qFormat/>
    <w:uiPriority w:val="0"/>
    <w:pPr>
      <w:spacing w:line="0" w:lineRule="atLeast"/>
    </w:pPr>
    <w:rPr>
      <w:rFonts w:ascii="宋体" w:hAnsi="宋体" w:eastAsia="小标宋"/>
      <w:kern w:val="0"/>
      <w:sz w:val="44"/>
      <w:szCs w:val="32"/>
    </w:rPr>
  </w:style>
  <w:style w:type="paragraph" w:styleId="5">
    <w:name w:val="Date"/>
    <w:basedOn w:val="1"/>
    <w:next w:val="1"/>
    <w:link w:val="16"/>
    <w:qFormat/>
    <w:uiPriority w:val="0"/>
    <w:pPr>
      <w:ind w:left="100" w:leftChars="2500"/>
    </w:p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rFonts w:ascii="Calibri" w:hAnsi="Calibri"/>
      <w:sz w:val="24"/>
    </w:rPr>
  </w:style>
  <w:style w:type="character" w:styleId="11">
    <w:name w:val="page number"/>
    <w:basedOn w:val="10"/>
    <w:qFormat/>
    <w:uiPriority w:val="0"/>
  </w:style>
  <w:style w:type="character" w:styleId="12">
    <w:name w:val="line number"/>
    <w:basedOn w:val="10"/>
    <w:qFormat/>
    <w:uiPriority w:val="0"/>
  </w:style>
  <w:style w:type="character" w:styleId="13">
    <w:name w:val="Hyperlink"/>
    <w:qFormat/>
    <w:uiPriority w:val="0"/>
    <w:rPr>
      <w:color w:val="0000FF"/>
      <w:u w:val="single"/>
    </w:rPr>
  </w:style>
  <w:style w:type="character" w:customStyle="1" w:styleId="14">
    <w:name w:val="页脚 Char"/>
    <w:link w:val="6"/>
    <w:qFormat/>
    <w:uiPriority w:val="99"/>
    <w:rPr>
      <w:kern w:val="2"/>
      <w:sz w:val="18"/>
      <w:szCs w:val="18"/>
    </w:rPr>
  </w:style>
  <w:style w:type="character" w:customStyle="1" w:styleId="15">
    <w:name w:val="正文文本 Char1"/>
    <w:qFormat/>
    <w:uiPriority w:val="0"/>
    <w:rPr>
      <w:kern w:val="2"/>
      <w:sz w:val="21"/>
      <w:szCs w:val="24"/>
    </w:rPr>
  </w:style>
  <w:style w:type="character" w:customStyle="1" w:styleId="16">
    <w:name w:val="日期 Char"/>
    <w:link w:val="5"/>
    <w:qFormat/>
    <w:uiPriority w:val="0"/>
    <w:rPr>
      <w:kern w:val="2"/>
      <w:sz w:val="21"/>
      <w:szCs w:val="24"/>
    </w:rPr>
  </w:style>
  <w:style w:type="character" w:customStyle="1" w:styleId="17">
    <w:name w:val="正文文本 Char"/>
    <w:link w:val="4"/>
    <w:qFormat/>
    <w:uiPriority w:val="0"/>
    <w:rPr>
      <w:rFonts w:ascii="宋体" w:hAnsi="宋体" w:eastAsia="小标宋"/>
      <w:sz w:val="44"/>
      <w:szCs w:val="32"/>
    </w:rPr>
  </w:style>
  <w:style w:type="character" w:customStyle="1" w:styleId="18">
    <w:name w:val="标题 2 Char"/>
    <w:basedOn w:val="10"/>
    <w:link w:val="3"/>
    <w:uiPriority w:val="0"/>
    <w:rPr>
      <w:rFonts w:ascii="Arial" w:hAnsi="Arial" w:eastAsia="黑体"/>
      <w:b/>
      <w:bCs/>
      <w:kern w:val="2"/>
      <w:sz w:val="32"/>
      <w:szCs w:val="32"/>
    </w:rPr>
  </w:style>
  <w:style w:type="character" w:customStyle="1" w:styleId="19">
    <w:name w:val="标题 1 Char"/>
    <w:basedOn w:val="10"/>
    <w:link w:val="2"/>
    <w:uiPriority w:val="0"/>
    <w:rPr>
      <w:rFonts w:ascii="Calibri" w:hAnsi="Calibri"/>
      <w:b/>
      <w:bCs/>
      <w:kern w:val="44"/>
      <w:sz w:val="44"/>
      <w:szCs w:val="44"/>
    </w:rPr>
  </w:style>
  <w:style w:type="paragraph" w:customStyle="1" w:styleId="20">
    <w:name w:val="样式 样式 标题 2 + Times New Roman 非加粗 + 首行缩进:  2 字符"/>
    <w:basedOn w:val="1"/>
    <w:qFormat/>
    <w:uiPriority w:val="0"/>
    <w:pPr>
      <w:keepNext/>
      <w:keepLines/>
      <w:spacing w:line="560" w:lineRule="exact"/>
      <w:ind w:firstLine="200" w:firstLineChars="200"/>
      <w:outlineLvl w:val="2"/>
    </w:pPr>
    <w:rPr>
      <w:rFonts w:ascii="Calibri" w:hAnsi="Calibri" w:eastAsia="仿宋" w:cs="宋体"/>
      <w:sz w:val="32"/>
      <w:szCs w:val="20"/>
    </w:rPr>
  </w:style>
  <w:style w:type="paragraph" w:customStyle="1" w:styleId="21">
    <w:name w:val="表内正文居中"/>
    <w:qFormat/>
    <w:uiPriority w:val="0"/>
    <w:pPr>
      <w:jc w:val="center"/>
    </w:pPr>
    <w:rPr>
      <w:rFonts w:ascii="Times New Roman" w:hAnsi="Times New Roman" w:eastAsia="宋体" w:cs="宋体"/>
      <w:snapToGrid w:val="0"/>
      <w:kern w:val="44"/>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1756</Words>
  <Characters>10014</Characters>
  <Lines>83</Lines>
  <Paragraphs>23</Paragraphs>
  <TotalTime>1</TotalTime>
  <ScaleCrop>false</ScaleCrop>
  <LinksUpToDate>false</LinksUpToDate>
  <CharactersWithSpaces>11747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2021-11-30T07:38:00Z</dcterms:created>
  <dc:creator>luobo</dc:creator>
  <cp:lastModifiedBy>青蒿</cp:lastModifiedBy>
  <cp:lastPrinted>2021-12-01T08:34:00Z</cp:lastPrinted>
  <dcterms:modified xsi:type="dcterms:W3CDTF">2021-12-08T07:07:38Z</dcterms:modified>
  <dc:title>关于向区政府常务会议及区长办公会议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76703C2052684479AEAA4EC1E47ACB63</vt:lpwstr>
  </property>
</Properties>
</file>