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ind w:firstLine="960"/>
        <w:jc w:val="center"/>
        <w:rPr>
          <w:rFonts w:eastAsia="黑体" w:cs="Times New Roman"/>
          <w:sz w:val="48"/>
          <w:szCs w:val="44"/>
        </w:rPr>
      </w:pPr>
      <w:bookmarkStart w:id="0" w:name="_Toc50994596"/>
      <w:bookmarkStart w:id="1" w:name="_Toc50994521"/>
      <w:bookmarkStart w:id="2" w:name="_Toc5307"/>
      <w:bookmarkStart w:id="3" w:name="_Toc50995102"/>
      <w:bookmarkStart w:id="4" w:name="_Toc19376"/>
    </w:p>
    <w:p>
      <w:pPr>
        <w:spacing w:before="240" w:beforeLines="100" w:after="240" w:afterLines="100"/>
        <w:ind w:left="-3" w:leftChars="-1" w:firstLine="0" w:firstLineChars="0"/>
        <w:jc w:val="center"/>
        <w:rPr>
          <w:rFonts w:eastAsia="黑体" w:cs="Times New Roman"/>
          <w:sz w:val="48"/>
          <w:szCs w:val="44"/>
        </w:rPr>
      </w:pPr>
    </w:p>
    <w:p>
      <w:pPr>
        <w:spacing w:before="240" w:beforeLines="100" w:after="240" w:afterLines="100"/>
        <w:ind w:firstLine="0" w:firstLineChars="0"/>
        <w:jc w:val="center"/>
        <w:rPr>
          <w:rFonts w:ascii="黑体" w:hAnsi="黑体" w:eastAsia="黑体" w:cs="Times New Roman"/>
          <w:b/>
          <w:sz w:val="44"/>
          <w:szCs w:val="44"/>
        </w:rPr>
      </w:pPr>
      <w:r>
        <w:rPr>
          <w:rFonts w:hint="eastAsia" w:ascii="黑体" w:hAnsi="黑体" w:eastAsia="黑体" w:cs="Times New Roman"/>
          <w:b/>
          <w:sz w:val="44"/>
          <w:szCs w:val="44"/>
        </w:rPr>
        <w:t>红桥区生态</w:t>
      </w:r>
      <w:r>
        <w:rPr>
          <w:rFonts w:ascii="黑体" w:hAnsi="黑体" w:eastAsia="黑体" w:cs="Times New Roman"/>
          <w:b/>
          <w:sz w:val="44"/>
          <w:szCs w:val="44"/>
        </w:rPr>
        <w:t>与环境保护</w:t>
      </w:r>
      <w:r>
        <w:rPr>
          <w:rFonts w:hint="eastAsia" w:ascii="黑体" w:hAnsi="黑体" w:eastAsia="黑体" w:cs="Times New Roman"/>
          <w:b/>
          <w:sz w:val="44"/>
          <w:szCs w:val="44"/>
        </w:rPr>
        <w:t>第</w:t>
      </w:r>
      <w:r>
        <w:rPr>
          <w:rFonts w:ascii="黑体" w:hAnsi="黑体" w:eastAsia="黑体" w:cs="Times New Roman"/>
          <w:b/>
          <w:sz w:val="44"/>
          <w:szCs w:val="44"/>
        </w:rPr>
        <w:t>十四个五年规划</w:t>
      </w:r>
    </w:p>
    <w:p>
      <w:pPr>
        <w:spacing w:before="240" w:beforeLines="100" w:after="240" w:afterLines="100"/>
        <w:ind w:firstLine="0" w:firstLineChars="0"/>
        <w:jc w:val="center"/>
        <w:rPr>
          <w:rFonts w:eastAsia="黑体" w:cs="Times New Roman"/>
          <w:sz w:val="48"/>
          <w:szCs w:val="44"/>
        </w:rPr>
      </w:pPr>
    </w:p>
    <w:p>
      <w:pPr>
        <w:spacing w:before="240" w:beforeLines="100" w:after="240" w:afterLines="100"/>
        <w:ind w:firstLine="960"/>
        <w:jc w:val="center"/>
        <w:rPr>
          <w:rFonts w:eastAsia="黑体" w:cs="Times New Roman"/>
          <w:sz w:val="48"/>
          <w:szCs w:val="44"/>
        </w:rPr>
      </w:pPr>
    </w:p>
    <w:p>
      <w:pPr>
        <w:spacing w:before="240" w:beforeLines="100" w:after="240" w:afterLines="100"/>
        <w:ind w:firstLine="960"/>
        <w:jc w:val="center"/>
        <w:rPr>
          <w:rFonts w:eastAsia="黑体" w:cs="Times New Roman"/>
          <w:sz w:val="48"/>
          <w:szCs w:val="44"/>
        </w:rPr>
      </w:pPr>
    </w:p>
    <w:p>
      <w:pPr>
        <w:spacing w:before="240" w:beforeLines="100" w:after="240" w:afterLines="100"/>
        <w:ind w:firstLine="960"/>
        <w:jc w:val="center"/>
        <w:rPr>
          <w:rFonts w:eastAsia="黑体" w:cs="Times New Roman"/>
          <w:sz w:val="48"/>
          <w:szCs w:val="44"/>
        </w:rPr>
      </w:pPr>
    </w:p>
    <w:p>
      <w:pPr>
        <w:spacing w:before="240" w:beforeLines="100" w:after="240" w:afterLines="100"/>
        <w:ind w:left="0" w:leftChars="0" w:firstLine="0" w:firstLineChars="0"/>
        <w:jc w:val="both"/>
        <w:rPr>
          <w:rFonts w:eastAsia="黑体" w:cs="Times New Roman"/>
          <w:sz w:val="48"/>
          <w:szCs w:val="44"/>
        </w:rPr>
      </w:pPr>
      <w:bookmarkStart w:id="105" w:name="_GoBack"/>
      <w:bookmarkEnd w:id="105"/>
    </w:p>
    <w:p>
      <w:pPr>
        <w:spacing w:before="240" w:beforeLines="100" w:after="240" w:afterLines="100"/>
        <w:ind w:firstLine="960"/>
        <w:jc w:val="center"/>
        <w:rPr>
          <w:rFonts w:eastAsia="黑体" w:cs="Times New Roman"/>
          <w:sz w:val="48"/>
          <w:szCs w:val="44"/>
        </w:rPr>
      </w:pPr>
    </w:p>
    <w:p>
      <w:pPr>
        <w:pStyle w:val="33"/>
        <w:spacing w:before="156" w:after="156"/>
        <w:ind w:firstLine="0" w:firstLineChars="0"/>
        <w:jc w:val="center"/>
        <w:rPr>
          <w:b/>
          <w:szCs w:val="32"/>
        </w:rPr>
      </w:pPr>
      <w:r>
        <w:rPr>
          <w:rFonts w:hint="eastAsia"/>
          <w:b/>
          <w:szCs w:val="32"/>
        </w:rPr>
        <w:t>红桥区</w:t>
      </w:r>
      <w:r>
        <w:rPr>
          <w:b/>
          <w:szCs w:val="32"/>
        </w:rPr>
        <w:t>生态环境局</w:t>
      </w:r>
    </w:p>
    <w:p>
      <w:pPr>
        <w:pStyle w:val="10"/>
        <w:ind w:firstLine="0" w:firstLineChars="0"/>
        <w:jc w:val="center"/>
      </w:pPr>
      <w:r>
        <w:rPr>
          <w:rFonts w:hint="eastAsia"/>
          <w:b/>
          <w:szCs w:val="32"/>
        </w:rPr>
        <w:t>二〇二一年四月</w:t>
      </w:r>
    </w:p>
    <w:p>
      <w:pPr>
        <w:pStyle w:val="10"/>
        <w:ind w:firstLine="0" w:firstLineChars="0"/>
      </w:pPr>
    </w:p>
    <w:p>
      <w:pPr>
        <w:pStyle w:val="10"/>
        <w:ind w:firstLine="0" w:firstLineChars="0"/>
      </w:pPr>
    </w:p>
    <w:p>
      <w:pPr>
        <w:pStyle w:val="10"/>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linePitch="435" w:charSpace="0"/>
        </w:sectPr>
      </w:pPr>
    </w:p>
    <w:p>
      <w:pPr>
        <w:pStyle w:val="10"/>
        <w:ind w:firstLine="0" w:firstLineChars="0"/>
      </w:pPr>
    </w:p>
    <w:sdt>
      <w:sdtPr>
        <w:rPr>
          <w:rFonts w:ascii="Times New Roman" w:hAnsi="Times New Roman" w:eastAsia="仿宋" w:cstheme="minorBidi"/>
          <w:b w:val="0"/>
          <w:bCs w:val="0"/>
          <w:color w:val="auto"/>
          <w:kern w:val="2"/>
          <w:sz w:val="32"/>
          <w:szCs w:val="22"/>
          <w:lang w:val="zh-CN"/>
        </w:rPr>
        <w:id w:val="-239483681"/>
        <w:docPartObj>
          <w:docPartGallery w:val="Table of Contents"/>
          <w:docPartUnique/>
        </w:docPartObj>
      </w:sdtPr>
      <w:sdtEndPr>
        <w:rPr>
          <w:rFonts w:ascii="Times New Roman" w:hAnsi="Times New Roman" w:eastAsia="仿宋" w:cstheme="minorBidi"/>
          <w:b w:val="0"/>
          <w:bCs w:val="0"/>
          <w:color w:val="auto"/>
          <w:kern w:val="2"/>
          <w:sz w:val="32"/>
          <w:szCs w:val="22"/>
          <w:lang w:val="zh-CN"/>
        </w:rPr>
      </w:sdtEndPr>
      <w:sdtContent>
        <w:p>
          <w:pPr>
            <w:pStyle w:val="59"/>
            <w:ind w:firstLine="640"/>
            <w:jc w:val="center"/>
            <w:rPr>
              <w:rFonts w:ascii="Times New Roman" w:hAnsi="Times New Roman" w:cs="Times New Roman" w:eastAsiaTheme="minorEastAsia"/>
              <w:bCs w:val="0"/>
              <w:color w:val="auto"/>
              <w:kern w:val="2"/>
              <w:sz w:val="32"/>
              <w:szCs w:val="32"/>
            </w:rPr>
          </w:pPr>
          <w:r>
            <w:rPr>
              <w:rFonts w:ascii="Times New Roman" w:hAnsi="Times New Roman" w:cs="Times New Roman" w:eastAsiaTheme="minorEastAsia"/>
              <w:bCs w:val="0"/>
              <w:color w:val="auto"/>
              <w:kern w:val="2"/>
              <w:sz w:val="32"/>
              <w:szCs w:val="32"/>
            </w:rPr>
            <w:t>目</w:t>
          </w:r>
          <w:r>
            <w:rPr>
              <w:rFonts w:hint="eastAsia" w:ascii="Times New Roman" w:hAnsi="Times New Roman" w:cs="Times New Roman" w:eastAsiaTheme="minorEastAsia"/>
              <w:bCs w:val="0"/>
              <w:color w:val="auto"/>
              <w:kern w:val="2"/>
              <w:sz w:val="32"/>
              <w:szCs w:val="32"/>
            </w:rPr>
            <w:t xml:space="preserve">  </w:t>
          </w:r>
          <w:r>
            <w:rPr>
              <w:rFonts w:ascii="Times New Roman" w:hAnsi="Times New Roman" w:cs="Times New Roman" w:eastAsiaTheme="minorEastAsia"/>
              <w:bCs w:val="0"/>
              <w:color w:val="auto"/>
              <w:kern w:val="2"/>
              <w:sz w:val="32"/>
              <w:szCs w:val="32"/>
            </w:rPr>
            <w:t>录</w:t>
          </w:r>
        </w:p>
        <w:p>
          <w:pPr>
            <w:pStyle w:val="18"/>
            <w:ind w:firstLine="560"/>
            <w:rPr>
              <w:rFonts w:eastAsia="宋体"/>
              <w:bCs w:val="0"/>
              <w:caps w:val="0"/>
              <w:lang w:val="en-US"/>
            </w:rPr>
          </w:pPr>
          <w:r>
            <w:rPr>
              <w:rFonts w:eastAsia="宋体"/>
            </w:rPr>
            <w:fldChar w:fldCharType="begin"/>
          </w:r>
          <w:r>
            <w:rPr>
              <w:rFonts w:eastAsia="宋体"/>
            </w:rPr>
            <w:instrText xml:space="preserve"> TOC \o "1-3" \h \z \u </w:instrText>
          </w:r>
          <w:r>
            <w:rPr>
              <w:rFonts w:eastAsia="宋体"/>
            </w:rPr>
            <w:fldChar w:fldCharType="separate"/>
          </w:r>
          <w:r>
            <w:fldChar w:fldCharType="begin"/>
          </w:r>
          <w:r>
            <w:instrText xml:space="preserve"> HYPERLINK \l "_Toc66713919" </w:instrText>
          </w:r>
          <w:r>
            <w:fldChar w:fldCharType="separate"/>
          </w:r>
          <w:r>
            <w:rPr>
              <w:rStyle w:val="30"/>
              <w:rFonts w:eastAsia="宋体"/>
            </w:rPr>
            <w:t>第一章  发展基础与发展环境</w:t>
          </w:r>
          <w:r>
            <w:rPr>
              <w:rFonts w:eastAsia="宋体"/>
            </w:rPr>
            <w:tab/>
          </w:r>
          <w:r>
            <w:rPr>
              <w:rFonts w:eastAsia="宋体"/>
            </w:rPr>
            <w:fldChar w:fldCharType="begin"/>
          </w:r>
          <w:r>
            <w:rPr>
              <w:rFonts w:eastAsia="宋体"/>
            </w:rPr>
            <w:instrText xml:space="preserve"> PAGEREF _Toc66713919 \h </w:instrText>
          </w:r>
          <w:r>
            <w:rPr>
              <w:rFonts w:eastAsia="宋体"/>
            </w:rPr>
            <w:fldChar w:fldCharType="separate"/>
          </w:r>
          <w:r>
            <w:rPr>
              <w:rFonts w:eastAsia="宋体"/>
            </w:rPr>
            <w:t>1</w:t>
          </w:r>
          <w:r>
            <w:rPr>
              <w:rFonts w:eastAsia="宋体"/>
            </w:rPr>
            <w:fldChar w:fldCharType="end"/>
          </w:r>
          <w:r>
            <w:rPr>
              <w:rFonts w:eastAsia="宋体"/>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"_Toc66713920" </w:instrText>
          </w:r>
          <w:r>
            <w:fldChar w:fldCharType="separate"/>
          </w:r>
          <w:r>
            <w:rPr>
              <w:rStyle w:val="30"/>
              <w:rFonts w:eastAsia="宋体" w:cs="Times New Roman"/>
              <w:sz w:val="28"/>
              <w:szCs w:val="28"/>
              <w:lang w:val="zh-CN"/>
            </w:rPr>
            <w:t>一、</w:t>
          </w:r>
          <w:r>
            <w:rPr>
              <w:rStyle w:val="30"/>
              <w:rFonts w:eastAsia="宋体" w:cs="Times New Roman"/>
              <w:sz w:val="28"/>
              <w:szCs w:val="28"/>
            </w:rPr>
            <w:t>“</w:t>
          </w:r>
          <w:r>
            <w:rPr>
              <w:rStyle w:val="30"/>
              <w:rFonts w:eastAsia="宋体" w:cs="Times New Roman"/>
              <w:sz w:val="28"/>
              <w:szCs w:val="28"/>
              <w:lang w:val="zh-CN"/>
            </w:rPr>
            <w:t>十三五</w:t>
          </w:r>
          <w:r>
            <w:rPr>
              <w:rStyle w:val="30"/>
              <w:rFonts w:eastAsia="宋体" w:cs="Times New Roman"/>
              <w:sz w:val="28"/>
              <w:szCs w:val="28"/>
            </w:rPr>
            <w:t>”时期</w:t>
          </w:r>
          <w:r>
            <w:rPr>
              <w:rStyle w:val="30"/>
              <w:rFonts w:eastAsia="宋体" w:cs="Times New Roman"/>
              <w:sz w:val="28"/>
              <w:szCs w:val="28"/>
              <w:lang w:val="zh-CN"/>
            </w:rPr>
            <w:t>工作成效</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_Toc66713920 \h </w:instrText>
          </w:r>
          <w:r>
            <w:rPr>
              <w:rFonts w:eastAsia="宋体" w:cs="Times New Roman"/>
              <w:sz w:val="28"/>
              <w:szCs w:val="28"/>
            </w:rPr>
            <w:fldChar w:fldCharType="separate"/>
          </w:r>
          <w:r>
            <w:rPr>
              <w:rFonts w:eastAsia="宋体" w:cs="Times New Roman"/>
              <w:sz w:val="28"/>
              <w:szCs w:val="28"/>
            </w:rPr>
            <w:t>1</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"_Toc66713921" </w:instrText>
          </w:r>
          <w:r>
            <w:fldChar w:fldCharType="separate"/>
          </w:r>
          <w:r>
            <w:rPr>
              <w:rStyle w:val="30"/>
              <w:rFonts w:eastAsia="宋体" w:cs="Times New Roman"/>
              <w:i w:val="0"/>
              <w:sz w:val="28"/>
              <w:szCs w:val="28"/>
            </w:rPr>
            <w:t>（</w:t>
          </w:r>
          <w:r>
            <w:rPr>
              <w:rStyle w:val="30"/>
              <w:rFonts w:eastAsia="宋体" w:cs="Times New Roman"/>
              <w:i w:val="0"/>
              <w:sz w:val="28"/>
              <w:szCs w:val="28"/>
              <w:lang w:val="zh-CN"/>
            </w:rPr>
            <w:t>一</w:t>
          </w:r>
          <w:r>
            <w:rPr>
              <w:rStyle w:val="30"/>
              <w:rFonts w:eastAsia="宋体" w:cs="Times New Roman"/>
              <w:i w:val="0"/>
              <w:sz w:val="28"/>
              <w:szCs w:val="28"/>
            </w:rPr>
            <w:t>）</w:t>
          </w:r>
          <w:r>
            <w:rPr>
              <w:rStyle w:val="30"/>
              <w:rFonts w:eastAsia="宋体" w:cs="Times New Roman"/>
              <w:i w:val="0"/>
              <w:sz w:val="28"/>
              <w:szCs w:val="28"/>
              <w:lang w:val="zh-CN"/>
            </w:rPr>
            <w:t>污染治理取得成效</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_Toc66713921 \h </w:instrText>
          </w:r>
          <w:r>
            <w:rPr>
              <w:rFonts w:eastAsia="宋体" w:cs="Times New Roman"/>
              <w:i w:val="0"/>
              <w:sz w:val="28"/>
              <w:szCs w:val="28"/>
            </w:rPr>
            <w:fldChar w:fldCharType="separate"/>
          </w:r>
          <w:r>
            <w:rPr>
              <w:rFonts w:eastAsia="宋体" w:cs="Times New Roman"/>
              <w:i w:val="0"/>
              <w:sz w:val="28"/>
              <w:szCs w:val="28"/>
            </w:rPr>
            <w:t>2</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"_Toc66713922" </w:instrText>
          </w:r>
          <w:r>
            <w:fldChar w:fldCharType="separate"/>
          </w:r>
          <w:r>
            <w:rPr>
              <w:rStyle w:val="30"/>
              <w:rFonts w:eastAsia="宋体" w:cs="Times New Roman"/>
              <w:i w:val="0"/>
              <w:sz w:val="28"/>
              <w:szCs w:val="28"/>
              <w:lang w:val="zh-CN"/>
            </w:rPr>
            <w:t>（二）生态保护和建设持续推进</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_Toc66713922 \h </w:instrText>
          </w:r>
          <w:r>
            <w:rPr>
              <w:rFonts w:eastAsia="宋体" w:cs="Times New Roman"/>
              <w:i w:val="0"/>
              <w:sz w:val="28"/>
              <w:szCs w:val="28"/>
            </w:rPr>
            <w:fldChar w:fldCharType="separate"/>
          </w:r>
          <w:r>
            <w:rPr>
              <w:rFonts w:eastAsia="宋体" w:cs="Times New Roman"/>
              <w:i w:val="0"/>
              <w:sz w:val="28"/>
              <w:szCs w:val="28"/>
            </w:rPr>
            <w:t>5</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"_Toc66713923" </w:instrText>
          </w:r>
          <w:r>
            <w:fldChar w:fldCharType="separate"/>
          </w:r>
          <w:r>
            <w:rPr>
              <w:rStyle w:val="30"/>
              <w:rFonts w:eastAsia="宋体" w:cs="Times New Roman"/>
              <w:i w:val="0"/>
              <w:sz w:val="28"/>
              <w:szCs w:val="28"/>
              <w:lang w:val="zh-CN"/>
            </w:rPr>
            <w:t>（三）生态环境管理能力日益增强</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_Toc66713923 \h </w:instrText>
          </w:r>
          <w:r>
            <w:rPr>
              <w:rFonts w:eastAsia="宋体" w:cs="Times New Roman"/>
              <w:i w:val="0"/>
              <w:sz w:val="28"/>
              <w:szCs w:val="28"/>
            </w:rPr>
            <w:fldChar w:fldCharType="separate"/>
          </w:r>
          <w:r>
            <w:rPr>
              <w:rFonts w:eastAsia="宋体" w:cs="Times New Roman"/>
              <w:i w:val="0"/>
              <w:sz w:val="28"/>
              <w:szCs w:val="28"/>
            </w:rPr>
            <w:t>6</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"_Toc66713924" </w:instrText>
          </w:r>
          <w:r>
            <w:fldChar w:fldCharType="separate"/>
          </w:r>
          <w:r>
            <w:rPr>
              <w:rStyle w:val="30"/>
              <w:rFonts w:eastAsia="宋体" w:cs="Times New Roman"/>
              <w:sz w:val="28"/>
              <w:szCs w:val="28"/>
              <w:lang w:val="zh-CN"/>
            </w:rPr>
            <w:t>二、</w:t>
          </w:r>
          <w:r>
            <w:rPr>
              <w:rStyle w:val="30"/>
              <w:rFonts w:eastAsia="宋体" w:cs="Times New Roman"/>
              <w:sz w:val="28"/>
              <w:szCs w:val="28"/>
            </w:rPr>
            <w:t>“</w:t>
          </w:r>
          <w:r>
            <w:rPr>
              <w:rStyle w:val="30"/>
              <w:rFonts w:eastAsia="宋体" w:cs="Times New Roman"/>
              <w:sz w:val="28"/>
              <w:szCs w:val="28"/>
              <w:lang w:val="zh-CN"/>
            </w:rPr>
            <w:t>十四五</w:t>
          </w:r>
          <w:r>
            <w:rPr>
              <w:rStyle w:val="30"/>
              <w:rFonts w:eastAsia="宋体" w:cs="Times New Roman"/>
              <w:sz w:val="28"/>
              <w:szCs w:val="28"/>
            </w:rPr>
            <w:t>”时期</w:t>
          </w:r>
          <w:r>
            <w:rPr>
              <w:rStyle w:val="30"/>
              <w:rFonts w:eastAsia="宋体" w:cs="Times New Roman"/>
              <w:sz w:val="28"/>
              <w:szCs w:val="28"/>
              <w:lang w:val="zh-CN"/>
            </w:rPr>
            <w:t>面临的形势</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_Toc66713924 \h </w:instrText>
          </w:r>
          <w:r>
            <w:rPr>
              <w:rFonts w:eastAsia="宋体" w:cs="Times New Roman"/>
              <w:sz w:val="28"/>
              <w:szCs w:val="28"/>
            </w:rPr>
            <w:fldChar w:fldCharType="separate"/>
          </w:r>
          <w:r>
            <w:rPr>
              <w:rFonts w:eastAsia="宋体" w:cs="Times New Roman"/>
              <w:sz w:val="28"/>
              <w:szCs w:val="28"/>
            </w:rPr>
            <w:t>7</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"_Toc66713925" </w:instrText>
          </w:r>
          <w:r>
            <w:fldChar w:fldCharType="separate"/>
          </w:r>
          <w:r>
            <w:rPr>
              <w:rStyle w:val="30"/>
              <w:rFonts w:eastAsia="宋体" w:cs="Times New Roman"/>
              <w:i w:val="0"/>
              <w:sz w:val="28"/>
              <w:szCs w:val="28"/>
              <w:lang w:val="zh-CN"/>
            </w:rPr>
            <w:t>（一）发展机遇</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_Toc66713925 \h </w:instrText>
          </w:r>
          <w:r>
            <w:rPr>
              <w:rFonts w:eastAsia="宋体" w:cs="Times New Roman"/>
              <w:i w:val="0"/>
              <w:sz w:val="28"/>
              <w:szCs w:val="28"/>
            </w:rPr>
            <w:fldChar w:fldCharType="separate"/>
          </w:r>
          <w:r>
            <w:rPr>
              <w:rFonts w:eastAsia="宋体" w:cs="Times New Roman"/>
              <w:i w:val="0"/>
              <w:sz w:val="28"/>
              <w:szCs w:val="28"/>
            </w:rPr>
            <w:t>7</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"_Toc66713926" </w:instrText>
          </w:r>
          <w:r>
            <w:fldChar w:fldCharType="separate"/>
          </w:r>
          <w:r>
            <w:rPr>
              <w:rStyle w:val="30"/>
              <w:rFonts w:eastAsia="宋体" w:cs="Times New Roman"/>
              <w:i w:val="0"/>
              <w:sz w:val="28"/>
              <w:szCs w:val="28"/>
              <w:lang w:val="zh-CN"/>
            </w:rPr>
            <w:t>（二）发展挑战</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_Toc66713926 \h </w:instrText>
          </w:r>
          <w:r>
            <w:rPr>
              <w:rFonts w:eastAsia="宋体" w:cs="Times New Roman"/>
              <w:i w:val="0"/>
              <w:sz w:val="28"/>
              <w:szCs w:val="28"/>
            </w:rPr>
            <w:fldChar w:fldCharType="separate"/>
          </w:r>
          <w:r>
            <w:rPr>
              <w:rFonts w:eastAsia="宋体" w:cs="Times New Roman"/>
              <w:i w:val="0"/>
              <w:sz w:val="28"/>
              <w:szCs w:val="28"/>
            </w:rPr>
            <w:t>7</w:t>
          </w:r>
          <w:r>
            <w:rPr>
              <w:rFonts w:eastAsia="宋体" w:cs="Times New Roman"/>
              <w:i w:val="0"/>
              <w:sz w:val="28"/>
              <w:szCs w:val="28"/>
            </w:rPr>
            <w:fldChar w:fldCharType="end"/>
          </w:r>
          <w:r>
            <w:rPr>
              <w:rFonts w:eastAsia="宋体" w:cs="Times New Roman"/>
              <w:i w:val="0"/>
              <w:sz w:val="28"/>
              <w:szCs w:val="28"/>
            </w:rPr>
            <w:fldChar w:fldCharType="end"/>
          </w:r>
        </w:p>
        <w:p>
          <w:pPr>
            <w:pStyle w:val="18"/>
            <w:ind w:firstLine="560"/>
            <w:rPr>
              <w:rFonts w:eastAsia="宋体"/>
              <w:bCs w:val="0"/>
              <w:caps w:val="0"/>
              <w:lang w:val="en-US"/>
            </w:rPr>
          </w:pPr>
          <w:r>
            <w:fldChar w:fldCharType="begin"/>
          </w:r>
          <w:r>
            <w:instrText xml:space="preserve"> HYPERLINK \l "_Toc66713927" </w:instrText>
          </w:r>
          <w:r>
            <w:fldChar w:fldCharType="separate"/>
          </w:r>
          <w:r>
            <w:rPr>
              <w:rStyle w:val="30"/>
              <w:rFonts w:eastAsia="宋体"/>
            </w:rPr>
            <w:t>第二章  指导思想和规划目标</w:t>
          </w:r>
          <w:r>
            <w:rPr>
              <w:rFonts w:eastAsia="宋体"/>
            </w:rPr>
            <w:tab/>
          </w:r>
          <w:r>
            <w:rPr>
              <w:rFonts w:eastAsia="宋体"/>
            </w:rPr>
            <w:fldChar w:fldCharType="begin"/>
          </w:r>
          <w:r>
            <w:rPr>
              <w:rFonts w:eastAsia="宋体"/>
            </w:rPr>
            <w:instrText xml:space="preserve"> PAGEREF _Toc66713927 \h </w:instrText>
          </w:r>
          <w:r>
            <w:rPr>
              <w:rFonts w:eastAsia="宋体"/>
            </w:rPr>
            <w:fldChar w:fldCharType="separate"/>
          </w:r>
          <w:r>
            <w:rPr>
              <w:rFonts w:eastAsia="宋体"/>
            </w:rPr>
            <w:t>9</w:t>
          </w:r>
          <w:r>
            <w:rPr>
              <w:rFonts w:eastAsia="宋体"/>
            </w:rPr>
            <w:fldChar w:fldCharType="end"/>
          </w:r>
          <w:r>
            <w:rPr>
              <w:rFonts w:eastAsia="宋体"/>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"_Toc66713928" </w:instrText>
          </w:r>
          <w:r>
            <w:fldChar w:fldCharType="separate"/>
          </w:r>
          <w:r>
            <w:rPr>
              <w:rStyle w:val="30"/>
              <w:rFonts w:eastAsia="宋体" w:cs="Times New Roman"/>
              <w:sz w:val="28"/>
              <w:szCs w:val="28"/>
              <w:lang w:val="zh-CN"/>
            </w:rPr>
            <w:t>一、指导思想</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_Toc66713928 \h </w:instrText>
          </w:r>
          <w:r>
            <w:rPr>
              <w:rFonts w:eastAsia="宋体" w:cs="Times New Roman"/>
              <w:sz w:val="28"/>
              <w:szCs w:val="28"/>
            </w:rPr>
            <w:fldChar w:fldCharType="separate"/>
          </w:r>
          <w:r>
            <w:rPr>
              <w:rFonts w:eastAsia="宋体" w:cs="Times New Roman"/>
              <w:sz w:val="28"/>
              <w:szCs w:val="28"/>
            </w:rPr>
            <w:t>9</w:t>
          </w:r>
          <w:r>
            <w:rPr>
              <w:rFonts w:eastAsia="宋体" w:cs="Times New Roman"/>
              <w:sz w:val="28"/>
              <w:szCs w:val="28"/>
            </w:rPr>
            <w:fldChar w:fldCharType="end"/>
          </w:r>
          <w:r>
            <w:rPr>
              <w:rFonts w:eastAsia="宋体" w:cs="Times New Roman"/>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"_Toc66713929" </w:instrText>
          </w:r>
          <w:r>
            <w:fldChar w:fldCharType="separate"/>
          </w:r>
          <w:r>
            <w:rPr>
              <w:rStyle w:val="30"/>
              <w:rFonts w:eastAsia="宋体" w:cs="Times New Roman"/>
              <w:sz w:val="28"/>
              <w:szCs w:val="28"/>
              <w:lang w:val="zh-CN"/>
            </w:rPr>
            <w:t>二、基本原则</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_Toc66713929 \h </w:instrText>
          </w:r>
          <w:r>
            <w:rPr>
              <w:rFonts w:eastAsia="宋体" w:cs="Times New Roman"/>
              <w:sz w:val="28"/>
              <w:szCs w:val="28"/>
            </w:rPr>
            <w:fldChar w:fldCharType="separate"/>
          </w:r>
          <w:r>
            <w:rPr>
              <w:rFonts w:eastAsia="宋体" w:cs="Times New Roman"/>
              <w:sz w:val="28"/>
              <w:szCs w:val="28"/>
            </w:rPr>
            <w:t>9</w:t>
          </w:r>
          <w:r>
            <w:rPr>
              <w:rFonts w:eastAsia="宋体" w:cs="Times New Roman"/>
              <w:sz w:val="28"/>
              <w:szCs w:val="28"/>
            </w:rPr>
            <w:fldChar w:fldCharType="end"/>
          </w:r>
          <w:r>
            <w:rPr>
              <w:rFonts w:eastAsia="宋体" w:cs="Times New Roman"/>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"_Toc66713930" </w:instrText>
          </w:r>
          <w:r>
            <w:fldChar w:fldCharType="separate"/>
          </w:r>
          <w:r>
            <w:rPr>
              <w:rStyle w:val="30"/>
              <w:rFonts w:eastAsia="宋体" w:cs="Times New Roman"/>
              <w:sz w:val="28"/>
              <w:szCs w:val="28"/>
              <w:lang w:val="zh-CN"/>
            </w:rPr>
            <w:t>三、工作目标和主要指标</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_Toc66713930 \h </w:instrText>
          </w:r>
          <w:r>
            <w:rPr>
              <w:rFonts w:eastAsia="宋体" w:cs="Times New Roman"/>
              <w:sz w:val="28"/>
              <w:szCs w:val="28"/>
            </w:rPr>
            <w:fldChar w:fldCharType="separate"/>
          </w:r>
          <w:r>
            <w:rPr>
              <w:rFonts w:eastAsia="宋体" w:cs="Times New Roman"/>
              <w:sz w:val="28"/>
              <w:szCs w:val="28"/>
            </w:rPr>
            <w:t>11</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"_Toc66713931" </w:instrText>
          </w:r>
          <w:r>
            <w:fldChar w:fldCharType="separate"/>
          </w:r>
          <w:r>
            <w:rPr>
              <w:rStyle w:val="30"/>
              <w:rFonts w:eastAsia="宋体" w:cs="Times New Roman"/>
              <w:i w:val="0"/>
              <w:sz w:val="28"/>
              <w:szCs w:val="28"/>
              <w:lang w:val="zh-CN"/>
            </w:rPr>
            <w:t>（一）总体目标</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_Toc66713931 \h </w:instrText>
          </w:r>
          <w:r>
            <w:rPr>
              <w:rFonts w:eastAsia="宋体" w:cs="Times New Roman"/>
              <w:i w:val="0"/>
              <w:sz w:val="28"/>
              <w:szCs w:val="28"/>
            </w:rPr>
            <w:fldChar w:fldCharType="separate"/>
          </w:r>
          <w:r>
            <w:rPr>
              <w:rFonts w:eastAsia="宋体" w:cs="Times New Roman"/>
              <w:i w:val="0"/>
              <w:sz w:val="28"/>
              <w:szCs w:val="28"/>
            </w:rPr>
            <w:t>11</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"_Toc66713932" </w:instrText>
          </w:r>
          <w:r>
            <w:fldChar w:fldCharType="separate"/>
          </w:r>
          <w:r>
            <w:rPr>
              <w:rStyle w:val="30"/>
              <w:rFonts w:eastAsia="宋体" w:cs="Times New Roman"/>
              <w:i w:val="0"/>
              <w:sz w:val="28"/>
              <w:szCs w:val="28"/>
              <w:lang w:val="zh-CN"/>
            </w:rPr>
            <w:t>（二）主要指标</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_Toc66713932 \h </w:instrText>
          </w:r>
          <w:r>
            <w:rPr>
              <w:rFonts w:eastAsia="宋体" w:cs="Times New Roman"/>
              <w:i w:val="0"/>
              <w:sz w:val="28"/>
              <w:szCs w:val="28"/>
            </w:rPr>
            <w:fldChar w:fldCharType="separate"/>
          </w:r>
          <w:r>
            <w:rPr>
              <w:rFonts w:eastAsia="宋体" w:cs="Times New Roman"/>
              <w:i w:val="0"/>
              <w:sz w:val="28"/>
              <w:szCs w:val="28"/>
            </w:rPr>
            <w:t>11</w:t>
          </w:r>
          <w:r>
            <w:rPr>
              <w:rFonts w:eastAsia="宋体" w:cs="Times New Roman"/>
              <w:i w:val="0"/>
              <w:sz w:val="28"/>
              <w:szCs w:val="28"/>
            </w:rPr>
            <w:fldChar w:fldCharType="end"/>
          </w:r>
          <w:r>
            <w:rPr>
              <w:rFonts w:eastAsia="宋体" w:cs="Times New Roman"/>
              <w:i w:val="0"/>
              <w:sz w:val="28"/>
              <w:szCs w:val="28"/>
            </w:rPr>
            <w:fldChar w:fldCharType="end"/>
          </w:r>
        </w:p>
        <w:p>
          <w:pPr>
            <w:pStyle w:val="18"/>
            <w:ind w:firstLine="560"/>
            <w:rPr>
              <w:rFonts w:eastAsia="宋体"/>
              <w:bCs w:val="0"/>
              <w:caps w:val="0"/>
              <w:lang w:val="en-US"/>
            </w:rPr>
          </w:pPr>
          <w:r>
            <w:fldChar w:fldCharType="begin"/>
          </w:r>
          <w:r>
            <w:instrText xml:space="preserve"> HYPERLINK \l "_Toc66713933" </w:instrText>
          </w:r>
          <w:r>
            <w:fldChar w:fldCharType="separate"/>
          </w:r>
          <w:r>
            <w:rPr>
              <w:rStyle w:val="30"/>
              <w:rFonts w:eastAsia="宋体"/>
            </w:rPr>
            <w:t>第三章  重点任务</w:t>
          </w:r>
          <w:r>
            <w:rPr>
              <w:rFonts w:eastAsia="宋体"/>
            </w:rPr>
            <w:tab/>
          </w:r>
          <w:r>
            <w:rPr>
              <w:rFonts w:eastAsia="宋体"/>
            </w:rPr>
            <w:fldChar w:fldCharType="begin"/>
          </w:r>
          <w:r>
            <w:rPr>
              <w:rFonts w:eastAsia="宋体"/>
            </w:rPr>
            <w:instrText xml:space="preserve"> PAGEREF _Toc66713933 \h </w:instrText>
          </w:r>
          <w:r>
            <w:rPr>
              <w:rFonts w:eastAsia="宋体"/>
            </w:rPr>
            <w:fldChar w:fldCharType="separate"/>
          </w:r>
          <w:r>
            <w:rPr>
              <w:rFonts w:eastAsia="宋体"/>
            </w:rPr>
            <w:t>13</w:t>
          </w:r>
          <w:r>
            <w:rPr>
              <w:rFonts w:eastAsia="宋体"/>
            </w:rPr>
            <w:fldChar w:fldCharType="end"/>
          </w:r>
          <w:r>
            <w:rPr>
              <w:rFonts w:eastAsia="宋体"/>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"_Toc66713934" </w:instrText>
          </w:r>
          <w:r>
            <w:fldChar w:fldCharType="separate"/>
          </w:r>
          <w:r>
            <w:rPr>
              <w:rStyle w:val="30"/>
              <w:rFonts w:eastAsia="宋体" w:cs="Times New Roman"/>
              <w:sz w:val="28"/>
              <w:szCs w:val="28"/>
              <w:lang w:val="zh-CN"/>
            </w:rPr>
            <w:t>一、多措并举，改善环境空气质量</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_Toc66713934 \h </w:instrText>
          </w:r>
          <w:r>
            <w:rPr>
              <w:rFonts w:eastAsia="宋体" w:cs="Times New Roman"/>
              <w:sz w:val="28"/>
              <w:szCs w:val="28"/>
            </w:rPr>
            <w:fldChar w:fldCharType="separate"/>
          </w:r>
          <w:r>
            <w:rPr>
              <w:rFonts w:eastAsia="宋体" w:cs="Times New Roman"/>
              <w:sz w:val="28"/>
              <w:szCs w:val="28"/>
            </w:rPr>
            <w:t>13</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"_Toc66713935" </w:instrText>
          </w:r>
          <w:r>
            <w:fldChar w:fldCharType="separate"/>
          </w:r>
          <w:r>
            <w:rPr>
              <w:rStyle w:val="30"/>
              <w:rFonts w:eastAsia="宋体" w:cs="Times New Roman"/>
              <w:i w:val="0"/>
              <w:sz w:val="28"/>
              <w:szCs w:val="28"/>
            </w:rPr>
            <w:t>（</w:t>
          </w:r>
          <w:r>
            <w:rPr>
              <w:rStyle w:val="30"/>
              <w:rFonts w:eastAsia="宋体" w:cs="Times New Roman"/>
              <w:i w:val="0"/>
              <w:sz w:val="28"/>
              <w:szCs w:val="28"/>
              <w:lang w:val="zh-CN"/>
            </w:rPr>
            <w:t>一</w:t>
          </w:r>
          <w:r>
            <w:rPr>
              <w:rStyle w:val="30"/>
              <w:rFonts w:eastAsia="宋体" w:cs="Times New Roman"/>
              <w:i w:val="0"/>
              <w:sz w:val="28"/>
              <w:szCs w:val="28"/>
            </w:rPr>
            <w:t>）</w:t>
          </w:r>
          <w:r>
            <w:rPr>
              <w:rStyle w:val="30"/>
              <w:rFonts w:eastAsia="宋体" w:cs="Times New Roman"/>
              <w:i w:val="0"/>
              <w:sz w:val="28"/>
              <w:szCs w:val="28"/>
              <w:lang w:val="zh-CN"/>
            </w:rPr>
            <w:t>深化燃煤污染治理</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_Toc66713935 \h </w:instrText>
          </w:r>
          <w:r>
            <w:rPr>
              <w:rFonts w:eastAsia="宋体" w:cs="Times New Roman"/>
              <w:i w:val="0"/>
              <w:sz w:val="28"/>
              <w:szCs w:val="28"/>
            </w:rPr>
            <w:fldChar w:fldCharType="separate"/>
          </w:r>
          <w:r>
            <w:rPr>
              <w:rFonts w:eastAsia="宋体" w:cs="Times New Roman"/>
              <w:i w:val="0"/>
              <w:sz w:val="28"/>
              <w:szCs w:val="28"/>
            </w:rPr>
            <w:t>13</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"_Toc66713936" </w:instrText>
          </w:r>
          <w:r>
            <w:fldChar w:fldCharType="separate"/>
          </w:r>
          <w:r>
            <w:rPr>
              <w:rStyle w:val="30"/>
              <w:rFonts w:eastAsia="宋体" w:cs="Times New Roman"/>
              <w:i w:val="0"/>
              <w:sz w:val="28"/>
              <w:szCs w:val="28"/>
              <w:lang w:val="zh-CN"/>
            </w:rPr>
            <w:t>（二）推进移动源综合治理</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_Toc66713936 \h </w:instrText>
          </w:r>
          <w:r>
            <w:rPr>
              <w:rFonts w:eastAsia="宋体" w:cs="Times New Roman"/>
              <w:i w:val="0"/>
              <w:sz w:val="28"/>
              <w:szCs w:val="28"/>
            </w:rPr>
            <w:fldChar w:fldCharType="separate"/>
          </w:r>
          <w:r>
            <w:rPr>
              <w:rFonts w:eastAsia="宋体" w:cs="Times New Roman"/>
              <w:i w:val="0"/>
              <w:sz w:val="28"/>
              <w:szCs w:val="28"/>
            </w:rPr>
            <w:t>13</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"_Toc66713937" </w:instrText>
          </w:r>
          <w:r>
            <w:fldChar w:fldCharType="separate"/>
          </w:r>
          <w:r>
            <w:rPr>
              <w:rStyle w:val="30"/>
              <w:rFonts w:eastAsia="宋体" w:cs="Times New Roman"/>
              <w:i w:val="0"/>
              <w:sz w:val="28"/>
              <w:szCs w:val="28"/>
            </w:rPr>
            <w:t>（三）加强扬尘污染治理</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_Toc66713937 \h </w:instrText>
          </w:r>
          <w:r>
            <w:rPr>
              <w:rFonts w:eastAsia="宋体" w:cs="Times New Roman"/>
              <w:i w:val="0"/>
              <w:sz w:val="28"/>
              <w:szCs w:val="28"/>
            </w:rPr>
            <w:fldChar w:fldCharType="separate"/>
          </w:r>
          <w:r>
            <w:rPr>
              <w:rFonts w:eastAsia="宋体" w:cs="Times New Roman"/>
              <w:i w:val="0"/>
              <w:sz w:val="28"/>
              <w:szCs w:val="28"/>
            </w:rPr>
            <w:t>14</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"_Toc66713938" </w:instrText>
          </w:r>
          <w:r>
            <w:fldChar w:fldCharType="separate"/>
          </w:r>
          <w:r>
            <w:rPr>
              <w:rStyle w:val="30"/>
              <w:rFonts w:eastAsia="宋体" w:cs="Times New Roman"/>
              <w:i w:val="0"/>
              <w:sz w:val="28"/>
              <w:szCs w:val="28"/>
            </w:rPr>
            <w:t>（四）VOCs全过程综合整治</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_Toc66713938 \h </w:instrText>
          </w:r>
          <w:r>
            <w:rPr>
              <w:rFonts w:eastAsia="宋体" w:cs="Times New Roman"/>
              <w:i w:val="0"/>
              <w:sz w:val="28"/>
              <w:szCs w:val="28"/>
            </w:rPr>
            <w:fldChar w:fldCharType="separate"/>
          </w:r>
          <w:r>
            <w:rPr>
              <w:rFonts w:eastAsia="宋体" w:cs="Times New Roman"/>
              <w:i w:val="0"/>
              <w:sz w:val="28"/>
              <w:szCs w:val="28"/>
            </w:rPr>
            <w:t>14</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"_Toc66713939" </w:instrText>
          </w:r>
          <w:r>
            <w:fldChar w:fldCharType="separate"/>
          </w:r>
          <w:r>
            <w:rPr>
              <w:rStyle w:val="30"/>
              <w:rFonts w:eastAsia="宋体" w:cs="Times New Roman"/>
              <w:i w:val="0"/>
              <w:sz w:val="28"/>
              <w:szCs w:val="28"/>
            </w:rPr>
            <w:t>（五）深化餐饮油烟污染治理</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_Toc66713939 \h </w:instrText>
          </w:r>
          <w:r>
            <w:rPr>
              <w:rFonts w:eastAsia="宋体" w:cs="Times New Roman"/>
              <w:i w:val="0"/>
              <w:sz w:val="28"/>
              <w:szCs w:val="28"/>
            </w:rPr>
            <w:fldChar w:fldCharType="separate"/>
          </w:r>
          <w:r>
            <w:rPr>
              <w:rFonts w:eastAsia="宋体" w:cs="Times New Roman"/>
              <w:i w:val="0"/>
              <w:sz w:val="28"/>
              <w:szCs w:val="28"/>
            </w:rPr>
            <w:t>14</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"_Toc66713940" </w:instrText>
          </w:r>
          <w:r>
            <w:fldChar w:fldCharType="separate"/>
          </w:r>
          <w:r>
            <w:rPr>
              <w:rStyle w:val="30"/>
              <w:rFonts w:eastAsia="宋体" w:cs="Times New Roman"/>
              <w:sz w:val="28"/>
              <w:szCs w:val="28"/>
            </w:rPr>
            <w:t>二、精准施策，改善水体环境质量</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_Toc66713940 \h </w:instrText>
          </w:r>
          <w:r>
            <w:rPr>
              <w:rFonts w:eastAsia="宋体" w:cs="Times New Roman"/>
              <w:sz w:val="28"/>
              <w:szCs w:val="28"/>
            </w:rPr>
            <w:fldChar w:fldCharType="separate"/>
          </w:r>
          <w:r>
            <w:rPr>
              <w:rFonts w:eastAsia="宋体" w:cs="Times New Roman"/>
              <w:sz w:val="28"/>
              <w:szCs w:val="28"/>
            </w:rPr>
            <w:t>15</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"_Toc66713941" </w:instrText>
          </w:r>
          <w:r>
            <w:fldChar w:fldCharType="separate"/>
          </w:r>
          <w:r>
            <w:rPr>
              <w:rStyle w:val="30"/>
              <w:rFonts w:eastAsia="宋体" w:cs="Times New Roman"/>
              <w:i w:val="0"/>
              <w:sz w:val="28"/>
              <w:szCs w:val="28"/>
            </w:rPr>
            <w:t>（一）实施地表水污染防治</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_Toc66713941 \h </w:instrText>
          </w:r>
          <w:r>
            <w:rPr>
              <w:rFonts w:eastAsia="宋体" w:cs="Times New Roman"/>
              <w:i w:val="0"/>
              <w:sz w:val="28"/>
              <w:szCs w:val="28"/>
            </w:rPr>
            <w:fldChar w:fldCharType="separate"/>
          </w:r>
          <w:r>
            <w:rPr>
              <w:rFonts w:eastAsia="宋体" w:cs="Times New Roman"/>
              <w:i w:val="0"/>
              <w:sz w:val="28"/>
              <w:szCs w:val="28"/>
            </w:rPr>
            <w:t>15</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"_Toc66713942" </w:instrText>
          </w:r>
          <w:r>
            <w:fldChar w:fldCharType="separate"/>
          </w:r>
          <w:r>
            <w:rPr>
              <w:rStyle w:val="30"/>
              <w:rFonts w:eastAsia="宋体" w:cs="Times New Roman"/>
              <w:i w:val="0"/>
              <w:sz w:val="28"/>
              <w:szCs w:val="28"/>
            </w:rPr>
            <w:t>（二）合理保护水资源</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_Toc66713942 \h </w:instrText>
          </w:r>
          <w:r>
            <w:rPr>
              <w:rFonts w:eastAsia="宋体" w:cs="Times New Roman"/>
              <w:i w:val="0"/>
              <w:sz w:val="28"/>
              <w:szCs w:val="28"/>
            </w:rPr>
            <w:fldChar w:fldCharType="separate"/>
          </w:r>
          <w:r>
            <w:rPr>
              <w:rFonts w:eastAsia="宋体" w:cs="Times New Roman"/>
              <w:i w:val="0"/>
              <w:sz w:val="28"/>
              <w:szCs w:val="28"/>
            </w:rPr>
            <w:t>15</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"_Toc66713943" </w:instrText>
          </w:r>
          <w:r>
            <w:fldChar w:fldCharType="separate"/>
          </w:r>
          <w:r>
            <w:rPr>
              <w:rStyle w:val="30"/>
              <w:rFonts w:eastAsia="宋体" w:cs="Times New Roman"/>
              <w:sz w:val="28"/>
              <w:szCs w:val="28"/>
            </w:rPr>
            <w:t>三、强化管控，改善土壤环境质量</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_Toc66713943 \h </w:instrText>
          </w:r>
          <w:r>
            <w:rPr>
              <w:rFonts w:eastAsia="宋体" w:cs="Times New Roman"/>
              <w:sz w:val="28"/>
              <w:szCs w:val="28"/>
            </w:rPr>
            <w:fldChar w:fldCharType="separate"/>
          </w:r>
          <w:r>
            <w:rPr>
              <w:rFonts w:eastAsia="宋体" w:cs="Times New Roman"/>
              <w:sz w:val="28"/>
              <w:szCs w:val="28"/>
            </w:rPr>
            <w:t>15</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"_Toc66713944" </w:instrText>
          </w:r>
          <w:r>
            <w:fldChar w:fldCharType="separate"/>
          </w:r>
          <w:r>
            <w:rPr>
              <w:rStyle w:val="30"/>
              <w:rFonts w:eastAsia="宋体" w:cs="Times New Roman"/>
              <w:i w:val="0"/>
              <w:sz w:val="28"/>
              <w:szCs w:val="28"/>
            </w:rPr>
            <w:t>（一）实行建设用地全过程管理</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_Toc66713944 \h </w:instrText>
          </w:r>
          <w:r>
            <w:rPr>
              <w:rFonts w:eastAsia="宋体" w:cs="Times New Roman"/>
              <w:i w:val="0"/>
              <w:sz w:val="28"/>
              <w:szCs w:val="28"/>
            </w:rPr>
            <w:fldChar w:fldCharType="separate"/>
          </w:r>
          <w:r>
            <w:rPr>
              <w:rFonts w:eastAsia="宋体" w:cs="Times New Roman"/>
              <w:i w:val="0"/>
              <w:sz w:val="28"/>
              <w:szCs w:val="28"/>
            </w:rPr>
            <w:t>16</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"_Toc66713945" </w:instrText>
          </w:r>
          <w:r>
            <w:fldChar w:fldCharType="separate"/>
          </w:r>
          <w:r>
            <w:rPr>
              <w:rStyle w:val="30"/>
              <w:rFonts w:eastAsia="宋体" w:cs="Times New Roman"/>
              <w:i w:val="0"/>
              <w:sz w:val="28"/>
              <w:szCs w:val="28"/>
              <w:lang w:val="zh-CN"/>
            </w:rPr>
            <w:t>（二）推进土壤污染治理与修复</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_Toc66713945 \h </w:instrText>
          </w:r>
          <w:r>
            <w:rPr>
              <w:rFonts w:eastAsia="宋体" w:cs="Times New Roman"/>
              <w:i w:val="0"/>
              <w:sz w:val="28"/>
              <w:szCs w:val="28"/>
            </w:rPr>
            <w:fldChar w:fldCharType="separate"/>
          </w:r>
          <w:r>
            <w:rPr>
              <w:rFonts w:eastAsia="宋体" w:cs="Times New Roman"/>
              <w:i w:val="0"/>
              <w:sz w:val="28"/>
              <w:szCs w:val="28"/>
            </w:rPr>
            <w:t>16</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"_Toc66713946" </w:instrText>
          </w:r>
          <w:r>
            <w:fldChar w:fldCharType="separate"/>
          </w:r>
          <w:r>
            <w:rPr>
              <w:rStyle w:val="30"/>
              <w:rFonts w:eastAsia="宋体" w:cs="Times New Roman"/>
              <w:i w:val="0"/>
              <w:sz w:val="28"/>
              <w:szCs w:val="28"/>
            </w:rPr>
            <w:t>（三）加强土壤与地下水污染协同防治</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_Toc66713946 \h </w:instrText>
          </w:r>
          <w:r>
            <w:rPr>
              <w:rFonts w:eastAsia="宋体" w:cs="Times New Roman"/>
              <w:i w:val="0"/>
              <w:sz w:val="28"/>
              <w:szCs w:val="28"/>
            </w:rPr>
            <w:fldChar w:fldCharType="separate"/>
          </w:r>
          <w:r>
            <w:rPr>
              <w:rFonts w:eastAsia="宋体" w:cs="Times New Roman"/>
              <w:i w:val="0"/>
              <w:sz w:val="28"/>
              <w:szCs w:val="28"/>
            </w:rPr>
            <w:t>16</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"_Toc66713947" </w:instrText>
          </w:r>
          <w:r>
            <w:fldChar w:fldCharType="separate"/>
          </w:r>
          <w:r>
            <w:rPr>
              <w:rStyle w:val="30"/>
              <w:rFonts w:eastAsia="宋体" w:cs="Times New Roman"/>
              <w:sz w:val="28"/>
              <w:szCs w:val="28"/>
              <w:lang w:val="zh-CN"/>
            </w:rPr>
            <w:t>四、多管齐下，管控固体废物和噪声污染</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_Toc66713947 \h </w:instrText>
          </w:r>
          <w:r>
            <w:rPr>
              <w:rFonts w:eastAsia="宋体" w:cs="Times New Roman"/>
              <w:sz w:val="28"/>
              <w:szCs w:val="28"/>
            </w:rPr>
            <w:fldChar w:fldCharType="separate"/>
          </w:r>
          <w:r>
            <w:rPr>
              <w:rFonts w:eastAsia="宋体" w:cs="Times New Roman"/>
              <w:sz w:val="28"/>
              <w:szCs w:val="28"/>
            </w:rPr>
            <w:t>16</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"_Toc66713948" </w:instrText>
          </w:r>
          <w:r>
            <w:fldChar w:fldCharType="separate"/>
          </w:r>
          <w:r>
            <w:rPr>
              <w:rStyle w:val="30"/>
              <w:rFonts w:eastAsia="宋体" w:cs="Times New Roman"/>
              <w:i w:val="0"/>
              <w:sz w:val="28"/>
              <w:szCs w:val="28"/>
            </w:rPr>
            <w:t>（一）加强固体废物监管规范化</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_Toc66713948 \h </w:instrText>
          </w:r>
          <w:r>
            <w:rPr>
              <w:rFonts w:eastAsia="宋体" w:cs="Times New Roman"/>
              <w:i w:val="0"/>
              <w:sz w:val="28"/>
              <w:szCs w:val="28"/>
            </w:rPr>
            <w:fldChar w:fldCharType="separate"/>
          </w:r>
          <w:r>
            <w:rPr>
              <w:rFonts w:eastAsia="宋体" w:cs="Times New Roman"/>
              <w:i w:val="0"/>
              <w:sz w:val="28"/>
              <w:szCs w:val="28"/>
            </w:rPr>
            <w:t>17</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"_Toc66713949" </w:instrText>
          </w:r>
          <w:r>
            <w:fldChar w:fldCharType="separate"/>
          </w:r>
          <w:r>
            <w:rPr>
              <w:rStyle w:val="30"/>
              <w:rFonts w:eastAsia="宋体" w:cs="Times New Roman"/>
              <w:i w:val="0"/>
              <w:sz w:val="28"/>
              <w:szCs w:val="28"/>
            </w:rPr>
            <w:t>（二）保持声环境质量安静宜居</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_Toc66713949 \h </w:instrText>
          </w:r>
          <w:r>
            <w:rPr>
              <w:rFonts w:eastAsia="宋体" w:cs="Times New Roman"/>
              <w:i w:val="0"/>
              <w:sz w:val="28"/>
              <w:szCs w:val="28"/>
            </w:rPr>
            <w:fldChar w:fldCharType="separate"/>
          </w:r>
          <w:r>
            <w:rPr>
              <w:rFonts w:eastAsia="宋体" w:cs="Times New Roman"/>
              <w:i w:val="0"/>
              <w:sz w:val="28"/>
              <w:szCs w:val="28"/>
            </w:rPr>
            <w:t>17</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"_Toc66713950" </w:instrText>
          </w:r>
          <w:r>
            <w:fldChar w:fldCharType="separate"/>
          </w:r>
          <w:r>
            <w:rPr>
              <w:rStyle w:val="30"/>
              <w:rFonts w:eastAsia="宋体" w:cs="Times New Roman"/>
              <w:sz w:val="28"/>
              <w:szCs w:val="28"/>
              <w:lang w:val="zh-CN"/>
            </w:rPr>
            <w:t>五、协同控制，积极应对气候变化</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_Toc66713950 \h </w:instrText>
          </w:r>
          <w:r>
            <w:rPr>
              <w:rFonts w:eastAsia="宋体" w:cs="Times New Roman"/>
              <w:sz w:val="28"/>
              <w:szCs w:val="28"/>
            </w:rPr>
            <w:fldChar w:fldCharType="separate"/>
          </w:r>
          <w:r>
            <w:rPr>
              <w:rFonts w:eastAsia="宋体" w:cs="Times New Roman"/>
              <w:sz w:val="28"/>
              <w:szCs w:val="28"/>
            </w:rPr>
            <w:t>17</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"_Toc66713951" </w:instrText>
          </w:r>
          <w:r>
            <w:fldChar w:fldCharType="separate"/>
          </w:r>
          <w:r>
            <w:rPr>
              <w:rStyle w:val="30"/>
              <w:rFonts w:eastAsia="宋体" w:cs="Times New Roman"/>
              <w:i w:val="0"/>
              <w:sz w:val="28"/>
              <w:szCs w:val="28"/>
            </w:rPr>
            <w:t>（一）控制温室气体排放</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_Toc66713951 \h </w:instrText>
          </w:r>
          <w:r>
            <w:rPr>
              <w:rFonts w:eastAsia="宋体" w:cs="Times New Roman"/>
              <w:i w:val="0"/>
              <w:sz w:val="28"/>
              <w:szCs w:val="28"/>
            </w:rPr>
            <w:fldChar w:fldCharType="separate"/>
          </w:r>
          <w:r>
            <w:rPr>
              <w:rFonts w:eastAsia="宋体" w:cs="Times New Roman"/>
              <w:i w:val="0"/>
              <w:sz w:val="28"/>
              <w:szCs w:val="28"/>
            </w:rPr>
            <w:t>17</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"_Toc66713952" </w:instrText>
          </w:r>
          <w:r>
            <w:fldChar w:fldCharType="separate"/>
          </w:r>
          <w:r>
            <w:rPr>
              <w:rStyle w:val="30"/>
              <w:rFonts w:eastAsia="宋体" w:cs="Times New Roman"/>
              <w:i w:val="0"/>
              <w:sz w:val="28"/>
              <w:szCs w:val="28"/>
            </w:rPr>
            <w:t>（二）主动适应气候变化</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_Toc66713952 \h </w:instrText>
          </w:r>
          <w:r>
            <w:rPr>
              <w:rFonts w:eastAsia="宋体" w:cs="Times New Roman"/>
              <w:i w:val="0"/>
              <w:sz w:val="28"/>
              <w:szCs w:val="28"/>
            </w:rPr>
            <w:fldChar w:fldCharType="separate"/>
          </w:r>
          <w:r>
            <w:rPr>
              <w:rFonts w:eastAsia="宋体" w:cs="Times New Roman"/>
              <w:i w:val="0"/>
              <w:sz w:val="28"/>
              <w:szCs w:val="28"/>
            </w:rPr>
            <w:t>17</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"_Toc66713953" </w:instrText>
          </w:r>
          <w:r>
            <w:fldChar w:fldCharType="separate"/>
          </w:r>
          <w:r>
            <w:rPr>
              <w:rStyle w:val="30"/>
              <w:rFonts w:eastAsia="宋体" w:cs="Times New Roman"/>
              <w:i w:val="0"/>
              <w:sz w:val="28"/>
              <w:szCs w:val="28"/>
            </w:rPr>
            <w:t>（三）协同推进节能降耗</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_Toc66713953 \h </w:instrText>
          </w:r>
          <w:r>
            <w:rPr>
              <w:rFonts w:eastAsia="宋体" w:cs="Times New Roman"/>
              <w:i w:val="0"/>
              <w:sz w:val="28"/>
              <w:szCs w:val="28"/>
            </w:rPr>
            <w:fldChar w:fldCharType="separate"/>
          </w:r>
          <w:r>
            <w:rPr>
              <w:rFonts w:eastAsia="宋体" w:cs="Times New Roman"/>
              <w:i w:val="0"/>
              <w:sz w:val="28"/>
              <w:szCs w:val="28"/>
            </w:rPr>
            <w:t>18</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"_Toc66713954" </w:instrText>
          </w:r>
          <w:r>
            <w:fldChar w:fldCharType="separate"/>
          </w:r>
          <w:r>
            <w:rPr>
              <w:rStyle w:val="30"/>
              <w:rFonts w:eastAsia="宋体" w:cs="Times New Roman"/>
              <w:sz w:val="28"/>
              <w:szCs w:val="28"/>
              <w:lang w:val="zh-CN"/>
            </w:rPr>
            <w:t>六、保护优先，强化生态保护修复</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_Toc66713954 \h </w:instrText>
          </w:r>
          <w:r>
            <w:rPr>
              <w:rFonts w:eastAsia="宋体" w:cs="Times New Roman"/>
              <w:sz w:val="28"/>
              <w:szCs w:val="28"/>
            </w:rPr>
            <w:fldChar w:fldCharType="separate"/>
          </w:r>
          <w:r>
            <w:rPr>
              <w:rFonts w:eastAsia="宋体" w:cs="Times New Roman"/>
              <w:sz w:val="28"/>
              <w:szCs w:val="28"/>
            </w:rPr>
            <w:t>18</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"_Toc66713955" </w:instrText>
          </w:r>
          <w:r>
            <w:fldChar w:fldCharType="separate"/>
          </w:r>
          <w:r>
            <w:rPr>
              <w:rStyle w:val="30"/>
              <w:rFonts w:eastAsia="宋体" w:cs="Times New Roman"/>
              <w:i w:val="0"/>
              <w:sz w:val="28"/>
              <w:szCs w:val="28"/>
            </w:rPr>
            <w:t>（一）严守生态保护红线</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_Toc66713955 \h </w:instrText>
          </w:r>
          <w:r>
            <w:rPr>
              <w:rFonts w:eastAsia="宋体" w:cs="Times New Roman"/>
              <w:i w:val="0"/>
              <w:sz w:val="28"/>
              <w:szCs w:val="28"/>
            </w:rPr>
            <w:fldChar w:fldCharType="separate"/>
          </w:r>
          <w:r>
            <w:rPr>
              <w:rFonts w:eastAsia="宋体" w:cs="Times New Roman"/>
              <w:i w:val="0"/>
              <w:sz w:val="28"/>
              <w:szCs w:val="28"/>
            </w:rPr>
            <w:t>18</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"_Toc66713956" </w:instrText>
          </w:r>
          <w:r>
            <w:fldChar w:fldCharType="separate"/>
          </w:r>
          <w:r>
            <w:rPr>
              <w:rStyle w:val="30"/>
              <w:rFonts w:eastAsia="宋体" w:cs="Times New Roman"/>
              <w:i w:val="0"/>
              <w:sz w:val="28"/>
              <w:szCs w:val="28"/>
            </w:rPr>
            <w:t>（二）强化生态保护修复</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_Toc66713956 \h </w:instrText>
          </w:r>
          <w:r>
            <w:rPr>
              <w:rFonts w:eastAsia="宋体" w:cs="Times New Roman"/>
              <w:i w:val="0"/>
              <w:sz w:val="28"/>
              <w:szCs w:val="28"/>
            </w:rPr>
            <w:fldChar w:fldCharType="separate"/>
          </w:r>
          <w:r>
            <w:rPr>
              <w:rFonts w:eastAsia="宋体" w:cs="Times New Roman"/>
              <w:i w:val="0"/>
              <w:sz w:val="28"/>
              <w:szCs w:val="28"/>
            </w:rPr>
            <w:t>19</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"_Toc66713957" </w:instrText>
          </w:r>
          <w:r>
            <w:fldChar w:fldCharType="separate"/>
          </w:r>
          <w:r>
            <w:rPr>
              <w:rStyle w:val="30"/>
              <w:rFonts w:eastAsia="宋体" w:cs="Times New Roman"/>
              <w:i w:val="0"/>
              <w:sz w:val="28"/>
              <w:szCs w:val="28"/>
            </w:rPr>
            <w:t>（三）加强生态保护监管</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_Toc66713957 \h </w:instrText>
          </w:r>
          <w:r>
            <w:rPr>
              <w:rFonts w:eastAsia="宋体" w:cs="Times New Roman"/>
              <w:i w:val="0"/>
              <w:sz w:val="28"/>
              <w:szCs w:val="28"/>
            </w:rPr>
            <w:fldChar w:fldCharType="separate"/>
          </w:r>
          <w:r>
            <w:rPr>
              <w:rFonts w:eastAsia="宋体" w:cs="Times New Roman"/>
              <w:i w:val="0"/>
              <w:sz w:val="28"/>
              <w:szCs w:val="28"/>
            </w:rPr>
            <w:t>19</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"_Toc66713958" </w:instrText>
          </w:r>
          <w:r>
            <w:fldChar w:fldCharType="separate"/>
          </w:r>
          <w:r>
            <w:rPr>
              <w:rStyle w:val="30"/>
              <w:rFonts w:eastAsia="宋体" w:cs="Times New Roman"/>
              <w:sz w:val="28"/>
              <w:szCs w:val="28"/>
              <w:lang w:val="zh-CN"/>
            </w:rPr>
            <w:t>七、</w:t>
          </w:r>
          <w:r>
            <w:rPr>
              <w:rStyle w:val="30"/>
              <w:rFonts w:eastAsia="宋体" w:cs="Times New Roman"/>
              <w:sz w:val="28"/>
              <w:szCs w:val="28"/>
            </w:rPr>
            <w:t>全程管控，加强环境风险防范</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_Toc66713958 \h </w:instrText>
          </w:r>
          <w:r>
            <w:rPr>
              <w:rFonts w:eastAsia="宋体" w:cs="Times New Roman"/>
              <w:sz w:val="28"/>
              <w:szCs w:val="28"/>
            </w:rPr>
            <w:fldChar w:fldCharType="separate"/>
          </w:r>
          <w:r>
            <w:rPr>
              <w:rFonts w:eastAsia="宋体" w:cs="Times New Roman"/>
              <w:sz w:val="28"/>
              <w:szCs w:val="28"/>
            </w:rPr>
            <w:t>19</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"_Toc66713959" </w:instrText>
          </w:r>
          <w:r>
            <w:fldChar w:fldCharType="separate"/>
          </w:r>
          <w:r>
            <w:rPr>
              <w:rStyle w:val="30"/>
              <w:rFonts w:eastAsia="宋体" w:cs="Times New Roman"/>
              <w:i w:val="0"/>
              <w:sz w:val="28"/>
              <w:szCs w:val="28"/>
            </w:rPr>
            <w:t>（一）加强风险源头防控</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_Toc66713959 \h </w:instrText>
          </w:r>
          <w:r>
            <w:rPr>
              <w:rFonts w:eastAsia="宋体" w:cs="Times New Roman"/>
              <w:i w:val="0"/>
              <w:sz w:val="28"/>
              <w:szCs w:val="28"/>
            </w:rPr>
            <w:fldChar w:fldCharType="separate"/>
          </w:r>
          <w:r>
            <w:rPr>
              <w:rFonts w:eastAsia="宋体" w:cs="Times New Roman"/>
              <w:i w:val="0"/>
              <w:sz w:val="28"/>
              <w:szCs w:val="28"/>
            </w:rPr>
            <w:t>20</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"_Toc66713960" </w:instrText>
          </w:r>
          <w:r>
            <w:fldChar w:fldCharType="separate"/>
          </w:r>
          <w:r>
            <w:rPr>
              <w:rStyle w:val="30"/>
              <w:rFonts w:eastAsia="宋体" w:cs="Times New Roman"/>
              <w:i w:val="0"/>
              <w:sz w:val="28"/>
              <w:szCs w:val="28"/>
            </w:rPr>
            <w:t>（二）强化环境风险评估</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_Toc66713960 \h </w:instrText>
          </w:r>
          <w:r>
            <w:rPr>
              <w:rFonts w:eastAsia="宋体" w:cs="Times New Roman"/>
              <w:i w:val="0"/>
              <w:sz w:val="28"/>
              <w:szCs w:val="28"/>
            </w:rPr>
            <w:fldChar w:fldCharType="separate"/>
          </w:r>
          <w:r>
            <w:rPr>
              <w:rFonts w:eastAsia="宋体" w:cs="Times New Roman"/>
              <w:i w:val="0"/>
              <w:sz w:val="28"/>
              <w:szCs w:val="28"/>
            </w:rPr>
            <w:t>20</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"_Toc66713961" </w:instrText>
          </w:r>
          <w:r>
            <w:fldChar w:fldCharType="separate"/>
          </w:r>
          <w:r>
            <w:rPr>
              <w:rStyle w:val="30"/>
              <w:rFonts w:eastAsia="宋体" w:cs="Times New Roman"/>
              <w:i w:val="0"/>
              <w:sz w:val="28"/>
              <w:szCs w:val="28"/>
            </w:rPr>
            <w:t>（三）健全预测预警体系</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_Toc66713961 \h </w:instrText>
          </w:r>
          <w:r>
            <w:rPr>
              <w:rFonts w:eastAsia="宋体" w:cs="Times New Roman"/>
              <w:i w:val="0"/>
              <w:sz w:val="28"/>
              <w:szCs w:val="28"/>
            </w:rPr>
            <w:fldChar w:fldCharType="separate"/>
          </w:r>
          <w:r>
            <w:rPr>
              <w:rFonts w:eastAsia="宋体" w:cs="Times New Roman"/>
              <w:i w:val="0"/>
              <w:sz w:val="28"/>
              <w:szCs w:val="28"/>
            </w:rPr>
            <w:t>20</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"_Toc66713962" </w:instrText>
          </w:r>
          <w:r>
            <w:fldChar w:fldCharType="separate"/>
          </w:r>
          <w:r>
            <w:rPr>
              <w:rStyle w:val="30"/>
              <w:rFonts w:eastAsia="宋体" w:cs="Times New Roman"/>
              <w:i w:val="0"/>
              <w:sz w:val="28"/>
              <w:szCs w:val="28"/>
            </w:rPr>
            <w:t>（四）建立健全联动机制</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_Toc66713962 \h </w:instrText>
          </w:r>
          <w:r>
            <w:rPr>
              <w:rFonts w:eastAsia="宋体" w:cs="Times New Roman"/>
              <w:i w:val="0"/>
              <w:sz w:val="28"/>
              <w:szCs w:val="28"/>
            </w:rPr>
            <w:fldChar w:fldCharType="separate"/>
          </w:r>
          <w:r>
            <w:rPr>
              <w:rFonts w:eastAsia="宋体" w:cs="Times New Roman"/>
              <w:i w:val="0"/>
              <w:sz w:val="28"/>
              <w:szCs w:val="28"/>
            </w:rPr>
            <w:t>21</w:t>
          </w:r>
          <w:r>
            <w:rPr>
              <w:rFonts w:eastAsia="宋体" w:cs="Times New Roman"/>
              <w:i w:val="0"/>
              <w:sz w:val="28"/>
              <w:szCs w:val="28"/>
            </w:rPr>
            <w:fldChar w:fldCharType="end"/>
          </w:r>
          <w:r>
            <w:rPr>
              <w:rFonts w:eastAsia="宋体" w:cs="Times New Roman"/>
              <w:i w:val="0"/>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"_Toc66713963" </w:instrText>
          </w:r>
          <w:r>
            <w:fldChar w:fldCharType="separate"/>
          </w:r>
          <w:r>
            <w:rPr>
              <w:rStyle w:val="30"/>
              <w:rFonts w:eastAsia="宋体" w:cs="Times New Roman"/>
              <w:sz w:val="28"/>
              <w:szCs w:val="28"/>
              <w:lang w:val="zh-CN"/>
            </w:rPr>
            <w:t>八、积极推动，构建现代生态环境治理体系</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_Toc66713963 \h </w:instrText>
          </w:r>
          <w:r>
            <w:rPr>
              <w:rFonts w:eastAsia="宋体" w:cs="Times New Roman"/>
              <w:sz w:val="28"/>
              <w:szCs w:val="28"/>
            </w:rPr>
            <w:fldChar w:fldCharType="separate"/>
          </w:r>
          <w:r>
            <w:rPr>
              <w:rFonts w:eastAsia="宋体" w:cs="Times New Roman"/>
              <w:sz w:val="28"/>
              <w:szCs w:val="28"/>
            </w:rPr>
            <w:t>21</w:t>
          </w:r>
          <w:r>
            <w:rPr>
              <w:rFonts w:eastAsia="宋体" w:cs="Times New Roman"/>
              <w:sz w:val="28"/>
              <w:szCs w:val="28"/>
            </w:rPr>
            <w:fldChar w:fldCharType="end"/>
          </w:r>
          <w:r>
            <w:rPr>
              <w:rFonts w:eastAsia="宋体" w:cs="Times New Roman"/>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"_Toc66713964" </w:instrText>
          </w:r>
          <w:r>
            <w:fldChar w:fldCharType="separate"/>
          </w:r>
          <w:r>
            <w:rPr>
              <w:rStyle w:val="30"/>
              <w:rFonts w:eastAsia="宋体" w:cs="Times New Roman"/>
              <w:i w:val="0"/>
              <w:sz w:val="28"/>
              <w:szCs w:val="28"/>
            </w:rPr>
            <w:t>（一）健全生态环境治理体系</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_Toc66713964 \h </w:instrText>
          </w:r>
          <w:r>
            <w:rPr>
              <w:rFonts w:eastAsia="宋体" w:cs="Times New Roman"/>
              <w:i w:val="0"/>
              <w:sz w:val="28"/>
              <w:szCs w:val="28"/>
            </w:rPr>
            <w:fldChar w:fldCharType="separate"/>
          </w:r>
          <w:r>
            <w:rPr>
              <w:rFonts w:eastAsia="宋体" w:cs="Times New Roman"/>
              <w:i w:val="0"/>
              <w:sz w:val="28"/>
              <w:szCs w:val="28"/>
            </w:rPr>
            <w:t>21</w:t>
          </w:r>
          <w:r>
            <w:rPr>
              <w:rFonts w:eastAsia="宋体" w:cs="Times New Roman"/>
              <w:i w:val="0"/>
              <w:sz w:val="28"/>
              <w:szCs w:val="28"/>
            </w:rPr>
            <w:fldChar w:fldCharType="end"/>
          </w:r>
          <w:r>
            <w:rPr>
              <w:rFonts w:eastAsia="宋体" w:cs="Times New Roman"/>
              <w:i w:val="0"/>
              <w:sz w:val="28"/>
              <w:szCs w:val="28"/>
            </w:rPr>
            <w:fldChar w:fldCharType="end"/>
          </w:r>
        </w:p>
        <w:p>
          <w:pPr>
            <w:pStyle w:val="13"/>
            <w:tabs>
              <w:tab w:val="right" w:leader="dot" w:pos="8302"/>
            </w:tabs>
            <w:ind w:firstLine="400"/>
            <w:rPr>
              <w:rFonts w:eastAsia="宋体" w:cs="Times New Roman"/>
              <w:i w:val="0"/>
              <w:iCs w:val="0"/>
              <w:sz w:val="28"/>
              <w:szCs w:val="28"/>
            </w:rPr>
          </w:pPr>
          <w:r>
            <w:fldChar w:fldCharType="begin"/>
          </w:r>
          <w:r>
            <w:instrText xml:space="preserve"> HYPERLINK \l "_Toc66713965" </w:instrText>
          </w:r>
          <w:r>
            <w:fldChar w:fldCharType="separate"/>
          </w:r>
          <w:r>
            <w:rPr>
              <w:rStyle w:val="30"/>
              <w:rFonts w:eastAsia="宋体" w:cs="Times New Roman"/>
              <w:i w:val="0"/>
              <w:sz w:val="28"/>
              <w:szCs w:val="28"/>
            </w:rPr>
            <w:t>（二）提升生态环境治理能力</w:t>
          </w:r>
          <w:r>
            <w:rPr>
              <w:rFonts w:eastAsia="宋体" w:cs="Times New Roman"/>
              <w:i w:val="0"/>
              <w:sz w:val="28"/>
              <w:szCs w:val="28"/>
            </w:rPr>
            <w:tab/>
          </w:r>
          <w:r>
            <w:rPr>
              <w:rFonts w:eastAsia="宋体" w:cs="Times New Roman"/>
              <w:i w:val="0"/>
              <w:sz w:val="28"/>
              <w:szCs w:val="28"/>
            </w:rPr>
            <w:fldChar w:fldCharType="begin"/>
          </w:r>
          <w:r>
            <w:rPr>
              <w:rFonts w:eastAsia="宋体" w:cs="Times New Roman"/>
              <w:i w:val="0"/>
              <w:sz w:val="28"/>
              <w:szCs w:val="28"/>
            </w:rPr>
            <w:instrText xml:space="preserve"> PAGEREF _Toc66713965 \h </w:instrText>
          </w:r>
          <w:r>
            <w:rPr>
              <w:rFonts w:eastAsia="宋体" w:cs="Times New Roman"/>
              <w:i w:val="0"/>
              <w:sz w:val="28"/>
              <w:szCs w:val="28"/>
            </w:rPr>
            <w:fldChar w:fldCharType="separate"/>
          </w:r>
          <w:r>
            <w:rPr>
              <w:rFonts w:eastAsia="宋体" w:cs="Times New Roman"/>
              <w:i w:val="0"/>
              <w:sz w:val="28"/>
              <w:szCs w:val="28"/>
            </w:rPr>
            <w:t>25</w:t>
          </w:r>
          <w:r>
            <w:rPr>
              <w:rFonts w:eastAsia="宋体" w:cs="Times New Roman"/>
              <w:i w:val="0"/>
              <w:sz w:val="28"/>
              <w:szCs w:val="28"/>
            </w:rPr>
            <w:fldChar w:fldCharType="end"/>
          </w:r>
          <w:r>
            <w:rPr>
              <w:rFonts w:eastAsia="宋体" w:cs="Times New Roman"/>
              <w:i w:val="0"/>
              <w:sz w:val="28"/>
              <w:szCs w:val="28"/>
            </w:rPr>
            <w:fldChar w:fldCharType="end"/>
          </w:r>
        </w:p>
        <w:p>
          <w:pPr>
            <w:pStyle w:val="18"/>
            <w:ind w:firstLine="560"/>
            <w:rPr>
              <w:rFonts w:eastAsia="宋体"/>
              <w:bCs w:val="0"/>
              <w:caps w:val="0"/>
              <w:lang w:val="en-US"/>
            </w:rPr>
          </w:pPr>
          <w:r>
            <w:fldChar w:fldCharType="begin"/>
          </w:r>
          <w:r>
            <w:instrText xml:space="preserve"> HYPERLINK \l "_Toc66713966" </w:instrText>
          </w:r>
          <w:r>
            <w:fldChar w:fldCharType="separate"/>
          </w:r>
          <w:r>
            <w:rPr>
              <w:rStyle w:val="30"/>
              <w:rFonts w:eastAsia="宋体"/>
            </w:rPr>
            <w:t>第四章  重点工程项目</w:t>
          </w:r>
          <w:r>
            <w:rPr>
              <w:rFonts w:eastAsia="宋体"/>
            </w:rPr>
            <w:tab/>
          </w:r>
          <w:r>
            <w:rPr>
              <w:rFonts w:eastAsia="宋体"/>
            </w:rPr>
            <w:fldChar w:fldCharType="begin"/>
          </w:r>
          <w:r>
            <w:rPr>
              <w:rFonts w:eastAsia="宋体"/>
            </w:rPr>
            <w:instrText xml:space="preserve"> PAGEREF _Toc66713966 \h </w:instrText>
          </w:r>
          <w:r>
            <w:rPr>
              <w:rFonts w:eastAsia="宋体"/>
            </w:rPr>
            <w:fldChar w:fldCharType="separate"/>
          </w:r>
          <w:r>
            <w:rPr>
              <w:rFonts w:eastAsia="宋体"/>
            </w:rPr>
            <w:t>29</w:t>
          </w:r>
          <w:r>
            <w:rPr>
              <w:rFonts w:eastAsia="宋体"/>
            </w:rPr>
            <w:fldChar w:fldCharType="end"/>
          </w:r>
          <w:r>
            <w:rPr>
              <w:rFonts w:eastAsia="宋体"/>
            </w:rPr>
            <w:fldChar w:fldCharType="end"/>
          </w:r>
        </w:p>
        <w:p>
          <w:pPr>
            <w:pStyle w:val="18"/>
            <w:ind w:firstLine="560"/>
            <w:rPr>
              <w:rFonts w:eastAsia="宋体"/>
              <w:bCs w:val="0"/>
              <w:caps w:val="0"/>
              <w:lang w:val="en-US"/>
            </w:rPr>
          </w:pPr>
          <w:r>
            <w:fldChar w:fldCharType="begin"/>
          </w:r>
          <w:r>
            <w:instrText xml:space="preserve"> HYPERLINK \l "_Toc66713967" </w:instrText>
          </w:r>
          <w:r>
            <w:fldChar w:fldCharType="separate"/>
          </w:r>
          <w:r>
            <w:rPr>
              <w:rStyle w:val="30"/>
              <w:rFonts w:eastAsia="宋体"/>
            </w:rPr>
            <w:t>第五章  保障措施</w:t>
          </w:r>
          <w:r>
            <w:rPr>
              <w:rFonts w:eastAsia="宋体"/>
            </w:rPr>
            <w:tab/>
          </w:r>
          <w:r>
            <w:rPr>
              <w:rFonts w:eastAsia="宋体"/>
            </w:rPr>
            <w:fldChar w:fldCharType="begin"/>
          </w:r>
          <w:r>
            <w:rPr>
              <w:rFonts w:eastAsia="宋体"/>
            </w:rPr>
            <w:instrText xml:space="preserve"> PAGEREF _Toc66713967 \h </w:instrText>
          </w:r>
          <w:r>
            <w:rPr>
              <w:rFonts w:eastAsia="宋体"/>
            </w:rPr>
            <w:fldChar w:fldCharType="separate"/>
          </w:r>
          <w:r>
            <w:rPr>
              <w:rFonts w:eastAsia="宋体"/>
            </w:rPr>
            <w:t>30</w:t>
          </w:r>
          <w:r>
            <w:rPr>
              <w:rFonts w:eastAsia="宋体"/>
            </w:rPr>
            <w:fldChar w:fldCharType="end"/>
          </w:r>
          <w:r>
            <w:rPr>
              <w:rFonts w:eastAsia="宋体"/>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"_Toc66713968" </w:instrText>
          </w:r>
          <w:r>
            <w:fldChar w:fldCharType="separate"/>
          </w:r>
          <w:r>
            <w:rPr>
              <w:rStyle w:val="30"/>
              <w:rFonts w:eastAsia="宋体" w:cs="Times New Roman"/>
              <w:sz w:val="28"/>
              <w:szCs w:val="28"/>
              <w:lang w:val="zh-CN"/>
            </w:rPr>
            <w:t>一、加强组织领导</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_Toc66713968 \h </w:instrText>
          </w:r>
          <w:r>
            <w:rPr>
              <w:rFonts w:eastAsia="宋体" w:cs="Times New Roman"/>
              <w:sz w:val="28"/>
              <w:szCs w:val="28"/>
            </w:rPr>
            <w:fldChar w:fldCharType="separate"/>
          </w:r>
          <w:r>
            <w:rPr>
              <w:rFonts w:eastAsia="宋体" w:cs="Times New Roman"/>
              <w:sz w:val="28"/>
              <w:szCs w:val="28"/>
            </w:rPr>
            <w:t>30</w:t>
          </w:r>
          <w:r>
            <w:rPr>
              <w:rFonts w:eastAsia="宋体" w:cs="Times New Roman"/>
              <w:sz w:val="28"/>
              <w:szCs w:val="28"/>
            </w:rPr>
            <w:fldChar w:fldCharType="end"/>
          </w:r>
          <w:r>
            <w:rPr>
              <w:rFonts w:eastAsia="宋体" w:cs="Times New Roman"/>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"_Toc66713969" </w:instrText>
          </w:r>
          <w:r>
            <w:fldChar w:fldCharType="separate"/>
          </w:r>
          <w:r>
            <w:rPr>
              <w:rStyle w:val="30"/>
              <w:rFonts w:eastAsia="宋体" w:cs="Times New Roman"/>
              <w:sz w:val="28"/>
              <w:szCs w:val="28"/>
              <w:lang w:val="zh-CN"/>
            </w:rPr>
            <w:t>二、增进统筹协调</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_Toc66713969 \h </w:instrText>
          </w:r>
          <w:r>
            <w:rPr>
              <w:rFonts w:eastAsia="宋体" w:cs="Times New Roman"/>
              <w:sz w:val="28"/>
              <w:szCs w:val="28"/>
            </w:rPr>
            <w:fldChar w:fldCharType="separate"/>
          </w:r>
          <w:r>
            <w:rPr>
              <w:rFonts w:eastAsia="宋体" w:cs="Times New Roman"/>
              <w:sz w:val="28"/>
              <w:szCs w:val="28"/>
            </w:rPr>
            <w:t>30</w:t>
          </w:r>
          <w:r>
            <w:rPr>
              <w:rFonts w:eastAsia="宋体" w:cs="Times New Roman"/>
              <w:sz w:val="28"/>
              <w:szCs w:val="28"/>
            </w:rPr>
            <w:fldChar w:fldCharType="end"/>
          </w:r>
          <w:r>
            <w:rPr>
              <w:rFonts w:eastAsia="宋体" w:cs="Times New Roman"/>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"_Toc66713970" </w:instrText>
          </w:r>
          <w:r>
            <w:fldChar w:fldCharType="separate"/>
          </w:r>
          <w:r>
            <w:rPr>
              <w:rStyle w:val="30"/>
              <w:rFonts w:eastAsia="宋体" w:cs="Times New Roman"/>
              <w:sz w:val="28"/>
              <w:szCs w:val="28"/>
              <w:lang w:val="zh-CN"/>
            </w:rPr>
            <w:t>三、强化科技支撑</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_Toc66713970 \h </w:instrText>
          </w:r>
          <w:r>
            <w:rPr>
              <w:rFonts w:eastAsia="宋体" w:cs="Times New Roman"/>
              <w:sz w:val="28"/>
              <w:szCs w:val="28"/>
            </w:rPr>
            <w:fldChar w:fldCharType="separate"/>
          </w:r>
          <w:r>
            <w:rPr>
              <w:rFonts w:eastAsia="宋体" w:cs="Times New Roman"/>
              <w:sz w:val="28"/>
              <w:szCs w:val="28"/>
            </w:rPr>
            <w:t>30</w:t>
          </w:r>
          <w:r>
            <w:rPr>
              <w:rFonts w:eastAsia="宋体" w:cs="Times New Roman"/>
              <w:sz w:val="28"/>
              <w:szCs w:val="28"/>
            </w:rPr>
            <w:fldChar w:fldCharType="end"/>
          </w:r>
          <w:r>
            <w:rPr>
              <w:rFonts w:eastAsia="宋体" w:cs="Times New Roman"/>
              <w:sz w:val="28"/>
              <w:szCs w:val="28"/>
            </w:rPr>
            <w:fldChar w:fldCharType="end"/>
          </w:r>
        </w:p>
        <w:p>
          <w:pPr>
            <w:pStyle w:val="22"/>
            <w:tabs>
              <w:tab w:val="right" w:leader="dot" w:pos="8302"/>
            </w:tabs>
            <w:ind w:firstLine="400"/>
            <w:rPr>
              <w:rFonts w:eastAsia="宋体" w:cs="Times New Roman"/>
              <w:smallCaps w:val="0"/>
              <w:sz w:val="28"/>
              <w:szCs w:val="28"/>
            </w:rPr>
          </w:pPr>
          <w:r>
            <w:fldChar w:fldCharType="begin"/>
          </w:r>
          <w:r>
            <w:instrText xml:space="preserve"> HYPERLINK \l "_Toc66713971" </w:instrText>
          </w:r>
          <w:r>
            <w:fldChar w:fldCharType="separate"/>
          </w:r>
          <w:r>
            <w:rPr>
              <w:rStyle w:val="30"/>
              <w:rFonts w:eastAsia="宋体" w:cs="Times New Roman"/>
              <w:sz w:val="28"/>
              <w:szCs w:val="28"/>
              <w:lang w:val="zh-CN"/>
            </w:rPr>
            <w:t>四、加大资金投入</w:t>
          </w:r>
          <w:r>
            <w:rPr>
              <w:rFonts w:eastAsia="宋体" w:cs="Times New Roman"/>
              <w:sz w:val="28"/>
              <w:szCs w:val="28"/>
            </w:rPr>
            <w:tab/>
          </w:r>
          <w:r>
            <w:rPr>
              <w:rFonts w:eastAsia="宋体" w:cs="Times New Roman"/>
              <w:sz w:val="28"/>
              <w:szCs w:val="28"/>
            </w:rPr>
            <w:fldChar w:fldCharType="begin"/>
          </w:r>
          <w:r>
            <w:rPr>
              <w:rFonts w:eastAsia="宋体" w:cs="Times New Roman"/>
              <w:sz w:val="28"/>
              <w:szCs w:val="28"/>
            </w:rPr>
            <w:instrText xml:space="preserve"> PAGEREF _Toc66713971 \h </w:instrText>
          </w:r>
          <w:r>
            <w:rPr>
              <w:rFonts w:eastAsia="宋体" w:cs="Times New Roman"/>
              <w:sz w:val="28"/>
              <w:szCs w:val="28"/>
            </w:rPr>
            <w:fldChar w:fldCharType="separate"/>
          </w:r>
          <w:r>
            <w:rPr>
              <w:rFonts w:eastAsia="宋体" w:cs="Times New Roman"/>
              <w:sz w:val="28"/>
              <w:szCs w:val="28"/>
            </w:rPr>
            <w:t>31</w:t>
          </w:r>
          <w:r>
            <w:rPr>
              <w:rFonts w:eastAsia="宋体" w:cs="Times New Roman"/>
              <w:sz w:val="28"/>
              <w:szCs w:val="28"/>
            </w:rPr>
            <w:fldChar w:fldCharType="end"/>
          </w:r>
          <w:r>
            <w:rPr>
              <w:rFonts w:eastAsia="宋体" w:cs="Times New Roman"/>
              <w:sz w:val="28"/>
              <w:szCs w:val="28"/>
            </w:rPr>
            <w:fldChar w:fldCharType="end"/>
          </w:r>
        </w:p>
        <w:p>
          <w:pPr>
            <w:pStyle w:val="18"/>
            <w:ind w:firstLine="560"/>
            <w:rPr>
              <w:rFonts w:eastAsia="宋体"/>
              <w:bCs w:val="0"/>
              <w:caps w:val="0"/>
              <w:lang w:val="en-US"/>
            </w:rPr>
          </w:pPr>
          <w:r>
            <w:fldChar w:fldCharType="begin"/>
          </w:r>
          <w:r>
            <w:instrText xml:space="preserve"> HYPERLINK \l "_Toc66713972" </w:instrText>
          </w:r>
          <w:r>
            <w:fldChar w:fldCharType="separate"/>
          </w:r>
          <w:r>
            <w:rPr>
              <w:rStyle w:val="30"/>
              <w:rFonts w:eastAsia="宋体"/>
            </w:rPr>
            <w:t>附表  “十四五”时期红桥区生态与环境保护重点工程项目</w:t>
          </w:r>
          <w:r>
            <w:rPr>
              <w:rFonts w:eastAsia="宋体"/>
            </w:rPr>
            <w:tab/>
          </w:r>
          <w:r>
            <w:rPr>
              <w:rFonts w:eastAsia="宋体"/>
            </w:rPr>
            <w:fldChar w:fldCharType="begin"/>
          </w:r>
          <w:r>
            <w:rPr>
              <w:rFonts w:eastAsia="宋体"/>
            </w:rPr>
            <w:instrText xml:space="preserve"> PAGEREF _Toc66713972 \h </w:instrText>
          </w:r>
          <w:r>
            <w:rPr>
              <w:rFonts w:eastAsia="宋体"/>
            </w:rPr>
            <w:fldChar w:fldCharType="separate"/>
          </w:r>
          <w:r>
            <w:rPr>
              <w:rFonts w:eastAsia="宋体"/>
            </w:rPr>
            <w:t>32</w:t>
          </w:r>
          <w:r>
            <w:rPr>
              <w:rFonts w:eastAsia="宋体"/>
            </w:rPr>
            <w:fldChar w:fldCharType="end"/>
          </w:r>
          <w:r>
            <w:rPr>
              <w:rFonts w:eastAsia="宋体"/>
            </w:rPr>
            <w:fldChar w:fldCharType="end"/>
          </w:r>
        </w:p>
        <w:p>
          <w:pPr>
            <w:ind w:firstLine="174" w:firstLineChars="62"/>
            <w:sectPr>
              <w:footerReference r:id="rId11" w:type="default"/>
              <w:pgSz w:w="11906" w:h="16838"/>
              <w:pgMar w:top="1440" w:right="1797" w:bottom="1440" w:left="1797" w:header="851" w:footer="992" w:gutter="0"/>
              <w:pgNumType w:fmt="lowerRoman" w:start="1"/>
              <w:cols w:space="425" w:num="1"/>
              <w:docGrid w:linePitch="435" w:charSpace="0"/>
            </w:sectPr>
          </w:pPr>
          <w:r>
            <w:rPr>
              <w:rFonts w:eastAsia="宋体" w:cs="Times New Roman"/>
              <w:b/>
              <w:bCs/>
              <w:sz w:val="28"/>
              <w:szCs w:val="28"/>
              <w:lang w:val="zh-CN"/>
            </w:rPr>
            <w:fldChar w:fldCharType="end"/>
          </w:r>
        </w:p>
      </w:sdtContent>
    </w:sdt>
    <w:p>
      <w:pPr>
        <w:pStyle w:val="10"/>
        <w:ind w:firstLine="640"/>
      </w:pPr>
      <w:r>
        <w:rPr>
          <w:rFonts w:hint="eastAsia"/>
        </w:rPr>
        <w:t>“十四五”时期（2021年－2025年），是红桥区在全面建成高质量小康社会基础上，开启全面建设社会主义现代化大都市中心城区新征程的第一个五年，是落实新发展理念、推动高质量发展、融入新发展格局的关键时期。科学制定和有效实施生态与环境保护第十四个五年规划，对落实生态立区发展举措，打造绿色城区、建设美丽红桥，具有重要意义。按照《红桥区</w:t>
      </w:r>
      <w:r>
        <w:rPr>
          <w:rFonts w:hint="eastAsia" w:eastAsia="仿宋_GB2312" w:cs="Times New Roman"/>
          <w:szCs w:val="32"/>
        </w:rPr>
        <w:t>“十四五”</w:t>
      </w:r>
      <w:r>
        <w:rPr>
          <w:rFonts w:hint="eastAsia"/>
        </w:rPr>
        <w:t>规划</w:t>
      </w:r>
      <w:r>
        <w:t>编制方案</w:t>
      </w:r>
      <w:r>
        <w:rPr>
          <w:rFonts w:hint="eastAsia"/>
        </w:rPr>
        <w:t>》要求，为</w:t>
      </w:r>
      <w:r>
        <w:t>全面贯彻落实《天津市</w:t>
      </w:r>
      <w:r>
        <w:rPr>
          <w:rFonts w:hint="eastAsia" w:eastAsia="仿宋_GB2312" w:cs="Times New Roman"/>
          <w:szCs w:val="32"/>
        </w:rPr>
        <w:t>“十四五”</w:t>
      </w:r>
      <w:r>
        <w:t>生态环境保护规划》</w:t>
      </w:r>
      <w:r>
        <w:rPr>
          <w:rFonts w:hint="eastAsia"/>
        </w:rPr>
        <w:t>《天津市红桥区国民经济和社会发展第十四个五年规划和二〇三五年远景目标纲要》和《天津市</w:t>
      </w:r>
      <w:r>
        <w:t>红桥区国民经济和社会发展第十四个五年规划纲要</w:t>
      </w:r>
      <w:r>
        <w:rPr>
          <w:rFonts w:hint="eastAsia"/>
        </w:rPr>
        <w:t>》</w:t>
      </w:r>
      <w:r>
        <w:t>，结合</w:t>
      </w:r>
      <w:r>
        <w:rPr>
          <w:rFonts w:hint="eastAsia"/>
        </w:rPr>
        <w:t>我</w:t>
      </w:r>
      <w:r>
        <w:t>区实际情况，制定本</w:t>
      </w:r>
      <w:r>
        <w:rPr>
          <w:rFonts w:hint="eastAsia"/>
        </w:rPr>
        <w:t>规划</w:t>
      </w:r>
      <w:r>
        <w:t>。</w:t>
      </w:r>
    </w:p>
    <w:p>
      <w:pPr>
        <w:pStyle w:val="10"/>
        <w:ind w:firstLine="640"/>
      </w:pPr>
    </w:p>
    <w:p>
      <w:pPr>
        <w:pStyle w:val="2"/>
        <w:adjustRightInd w:val="0"/>
        <w:snapToGrid w:val="0"/>
        <w:spacing w:before="0" w:after="0" w:line="360" w:lineRule="auto"/>
        <w:ind w:firstLine="0" w:firstLineChars="0"/>
        <w:jc w:val="center"/>
        <w:rPr>
          <w:rFonts w:eastAsia="黑体" w:cs="Times New Roman"/>
          <w:sz w:val="36"/>
          <w:szCs w:val="36"/>
        </w:rPr>
      </w:pPr>
      <w:bookmarkStart w:id="5" w:name="_Toc66713919"/>
      <w:r>
        <w:rPr>
          <w:rFonts w:hint="eastAsia" w:eastAsia="黑体" w:cs="Times New Roman"/>
          <w:sz w:val="36"/>
          <w:szCs w:val="36"/>
        </w:rPr>
        <w:t xml:space="preserve">第一章 </w:t>
      </w:r>
      <w:r>
        <w:rPr>
          <w:rFonts w:eastAsia="黑体" w:cs="Times New Roman"/>
          <w:sz w:val="36"/>
          <w:szCs w:val="36"/>
        </w:rPr>
        <w:t xml:space="preserve"> </w:t>
      </w:r>
      <w:r>
        <w:rPr>
          <w:rFonts w:hint="eastAsia" w:eastAsia="黑体" w:cs="Times New Roman"/>
          <w:sz w:val="36"/>
          <w:szCs w:val="36"/>
        </w:rPr>
        <w:t>发展基础与发展环境</w:t>
      </w:r>
      <w:bookmarkEnd w:id="5"/>
    </w:p>
    <w:p>
      <w:pPr>
        <w:pStyle w:val="3"/>
        <w:ind w:firstLine="640"/>
      </w:pPr>
      <w:bookmarkStart w:id="6" w:name="_Toc66713920"/>
      <w:r>
        <w:rPr>
          <w:lang w:val="zh-CN"/>
        </w:rPr>
        <w:t>一、</w:t>
      </w:r>
      <w:r>
        <w:rPr>
          <w:rFonts w:hint="eastAsia"/>
        </w:rPr>
        <w:t>“</w:t>
      </w:r>
      <w:r>
        <w:rPr>
          <w:rFonts w:hint="eastAsia"/>
          <w:lang w:val="zh-CN"/>
        </w:rPr>
        <w:t>十三五</w:t>
      </w:r>
      <w:r>
        <w:rPr>
          <w:rFonts w:hint="eastAsia"/>
        </w:rPr>
        <w:t>”时期</w:t>
      </w:r>
      <w:r>
        <w:rPr>
          <w:rFonts w:hint="eastAsia"/>
          <w:lang w:val="zh-CN"/>
        </w:rPr>
        <w:t>工作成效</w:t>
      </w:r>
      <w:bookmarkEnd w:id="6"/>
    </w:p>
    <w:p>
      <w:pPr>
        <w:pStyle w:val="10"/>
        <w:ind w:firstLine="640"/>
        <w:rPr>
          <w:rFonts w:eastAsia="仿宋_GB2312" w:cs="Times New Roman"/>
          <w:szCs w:val="32"/>
        </w:rPr>
      </w:pPr>
      <w:r>
        <w:rPr>
          <w:rFonts w:hint="eastAsia" w:eastAsia="仿宋_GB2312" w:cs="Times New Roman"/>
          <w:szCs w:val="32"/>
        </w:rPr>
        <w:t>“十三五”时期（2016</w:t>
      </w:r>
      <w:r>
        <w:rPr>
          <w:rFonts w:hint="eastAsia"/>
        </w:rPr>
        <w:t>－2020年</w:t>
      </w:r>
      <w:r>
        <w:rPr>
          <w:rFonts w:hint="eastAsia" w:eastAsia="仿宋_GB2312" w:cs="Times New Roman"/>
          <w:szCs w:val="32"/>
        </w:rPr>
        <w:t>）</w:t>
      </w:r>
      <w:r>
        <w:rPr>
          <w:rFonts w:eastAsia="仿宋_GB2312" w:cs="Times New Roman"/>
          <w:szCs w:val="32"/>
        </w:rPr>
        <w:t>，</w:t>
      </w:r>
      <w:r>
        <w:rPr>
          <w:rFonts w:hint="eastAsia" w:eastAsia="仿宋_GB2312" w:cs="Times New Roman"/>
          <w:szCs w:val="32"/>
        </w:rPr>
        <w:t>红桥区委、区政府高度重视生态环境保护工作，认真贯彻习近平生态文明思想以及习近平总书记对天津工作提出的“三个着力”重要要求和一系列重要指示批示精神</w:t>
      </w:r>
      <w:r>
        <w:rPr>
          <w:rFonts w:eastAsia="仿宋_GB2312" w:cs="Times New Roman"/>
          <w:szCs w:val="32"/>
        </w:rPr>
        <w:t>，牢固树立社会主义生态文明观，</w:t>
      </w:r>
      <w:r>
        <w:rPr>
          <w:rFonts w:hint="eastAsia" w:eastAsia="仿宋_GB2312" w:cs="Times New Roman"/>
          <w:szCs w:val="32"/>
        </w:rPr>
        <w:t>坚决贯彻新发展理念，</w:t>
      </w:r>
      <w:r>
        <w:rPr>
          <w:rFonts w:eastAsia="仿宋_GB2312" w:cs="Times New Roman"/>
          <w:szCs w:val="32"/>
        </w:rPr>
        <w:t>严格落实中央和市委、市政府关于加强生态文明建设和环境保护各项工作精神、部署，</w:t>
      </w:r>
      <w:r>
        <w:rPr>
          <w:rFonts w:hint="eastAsia" w:eastAsia="仿宋_GB2312" w:cs="Times New Roman"/>
          <w:szCs w:val="32"/>
        </w:rPr>
        <w:t>围绕“打造绿色城区、建设美丽红桥”的发展目标，大力实施生态立区发展举措，全区生态环境质量明显改善，取得显著成效。</w:t>
      </w:r>
    </w:p>
    <w:p>
      <w:pPr>
        <w:pStyle w:val="4"/>
        <w:spacing w:before="120"/>
        <w:ind w:firstLine="640"/>
      </w:pPr>
      <w:bookmarkStart w:id="7" w:name="_Toc66713921"/>
      <w:r>
        <w:rPr>
          <w:rFonts w:hint="eastAsia"/>
        </w:rPr>
        <w:t>（</w:t>
      </w:r>
      <w:r>
        <w:rPr>
          <w:rFonts w:hint="eastAsia"/>
          <w:lang w:val="zh-CN"/>
        </w:rPr>
        <w:t>一</w:t>
      </w:r>
      <w:r>
        <w:rPr>
          <w:rFonts w:hint="eastAsia"/>
        </w:rPr>
        <w:t>）</w:t>
      </w:r>
      <w:r>
        <w:rPr>
          <w:rFonts w:hint="eastAsia"/>
          <w:lang w:val="zh-CN"/>
        </w:rPr>
        <w:t>污染</w:t>
      </w:r>
      <w:r>
        <w:rPr>
          <w:lang w:val="zh-CN"/>
        </w:rPr>
        <w:t>治理</w:t>
      </w:r>
      <w:r>
        <w:rPr>
          <w:rFonts w:hint="eastAsia"/>
          <w:lang w:val="zh-CN"/>
        </w:rPr>
        <w:t>取得</w:t>
      </w:r>
      <w:r>
        <w:rPr>
          <w:lang w:val="zh-CN"/>
        </w:rPr>
        <w:t>成效</w:t>
      </w:r>
      <w:bookmarkEnd w:id="7"/>
    </w:p>
    <w:p>
      <w:pPr>
        <w:pStyle w:val="10"/>
        <w:ind w:firstLine="640"/>
        <w:rPr>
          <w:rFonts w:eastAsia="仿宋_GB2312" w:cs="Times New Roman"/>
          <w:szCs w:val="32"/>
        </w:rPr>
      </w:pPr>
      <w:r>
        <w:rPr>
          <w:rFonts w:eastAsia="仿宋_GB2312" w:cs="Times New Roman"/>
          <w:szCs w:val="32"/>
        </w:rPr>
        <w:t>切实</w:t>
      </w:r>
      <w:r>
        <w:rPr>
          <w:rFonts w:hint="eastAsia" w:eastAsia="仿宋_GB2312" w:cs="Times New Roman"/>
          <w:szCs w:val="32"/>
        </w:rPr>
        <w:t>加</w:t>
      </w:r>
      <w:r>
        <w:rPr>
          <w:rFonts w:eastAsia="仿宋_GB2312" w:cs="Times New Roman"/>
          <w:szCs w:val="32"/>
        </w:rPr>
        <w:t>大生态环境保护力度，</w:t>
      </w:r>
      <w:r>
        <w:rPr>
          <w:rFonts w:hint="eastAsia" w:eastAsia="仿宋_GB2312" w:cs="Times New Roman"/>
          <w:szCs w:val="32"/>
        </w:rPr>
        <w:t>严格建设项目审批，</w:t>
      </w:r>
      <w:r>
        <w:rPr>
          <w:rFonts w:eastAsia="仿宋_GB2312" w:cs="Times New Roman"/>
          <w:szCs w:val="32"/>
        </w:rPr>
        <w:t>强化源头治理</w:t>
      </w:r>
      <w:r>
        <w:rPr>
          <w:rFonts w:hint="eastAsia" w:eastAsia="仿宋_GB2312" w:cs="Times New Roman"/>
          <w:szCs w:val="32"/>
        </w:rPr>
        <w:t>。</w:t>
      </w:r>
      <w:r>
        <w:rPr>
          <w:rFonts w:eastAsia="仿宋_GB2312" w:cs="Times New Roman"/>
          <w:szCs w:val="32"/>
        </w:rPr>
        <w:t>依法铁腕治污</w:t>
      </w:r>
      <w:r>
        <w:rPr>
          <w:rFonts w:hint="eastAsia" w:eastAsia="仿宋_GB2312" w:cs="Times New Roman"/>
          <w:szCs w:val="32"/>
        </w:rPr>
        <w:t>，</w:t>
      </w:r>
      <w:r>
        <w:rPr>
          <w:rFonts w:eastAsia="仿宋_GB2312" w:cs="Times New Roman"/>
          <w:szCs w:val="32"/>
        </w:rPr>
        <w:t>多措并举综合施</w:t>
      </w:r>
      <w:r>
        <w:rPr>
          <w:rFonts w:hint="eastAsia" w:eastAsia="仿宋_GB2312" w:cs="Times New Roman"/>
          <w:szCs w:val="32"/>
        </w:rPr>
        <w:t>策，强化事中事后监管，全区生态环境质量持续改善。</w:t>
      </w:r>
    </w:p>
    <w:p>
      <w:pPr>
        <w:pStyle w:val="5"/>
        <w:spacing w:before="120"/>
        <w:ind w:firstLine="643"/>
        <w:rPr>
          <w:b/>
        </w:rPr>
      </w:pPr>
      <w:r>
        <w:rPr>
          <w:rFonts w:hint="eastAsia"/>
          <w:b/>
        </w:rPr>
        <w:t>1、</w:t>
      </w:r>
      <w:r>
        <w:rPr>
          <w:b/>
        </w:rPr>
        <w:t>坚决打赢蓝天保卫战</w:t>
      </w:r>
    </w:p>
    <w:p>
      <w:pPr>
        <w:pStyle w:val="10"/>
        <w:ind w:firstLine="640"/>
        <w:rPr>
          <w:rFonts w:eastAsia="仿宋_GB2312" w:cs="Times New Roman"/>
          <w:szCs w:val="32"/>
        </w:rPr>
      </w:pPr>
      <w:r>
        <w:rPr>
          <w:rFonts w:hint="eastAsia" w:eastAsia="仿宋_GB2312" w:cs="Times New Roman"/>
          <w:szCs w:val="32"/>
        </w:rPr>
        <w:t>从新建项目、燃煤、工业、扬尘、移动源等方面入手，全面做好大气污染防治。新建</w:t>
      </w:r>
      <w:r>
        <w:rPr>
          <w:rFonts w:eastAsia="仿宋_GB2312" w:cs="Times New Roman"/>
          <w:szCs w:val="32"/>
        </w:rPr>
        <w:t>项目严格</w:t>
      </w:r>
      <w:r>
        <w:rPr>
          <w:rFonts w:hint="eastAsia" w:eastAsia="仿宋_GB2312" w:cs="Times New Roman"/>
          <w:szCs w:val="32"/>
        </w:rPr>
        <w:t>落实</w:t>
      </w:r>
      <w:r>
        <w:rPr>
          <w:rFonts w:eastAsia="仿宋_GB2312" w:cs="Times New Roman"/>
          <w:szCs w:val="32"/>
        </w:rPr>
        <w:t>国家大气污染物特别排放限值要求，实行倍量替代</w:t>
      </w:r>
      <w:r>
        <w:rPr>
          <w:rFonts w:hint="eastAsia" w:eastAsia="仿宋_GB2312" w:cs="Times New Roman"/>
          <w:szCs w:val="32"/>
        </w:rPr>
        <w:t>，全面</w:t>
      </w:r>
      <w:r>
        <w:rPr>
          <w:rFonts w:eastAsia="仿宋_GB2312" w:cs="Times New Roman"/>
          <w:szCs w:val="32"/>
        </w:rPr>
        <w:t>完成</w:t>
      </w:r>
      <w:r>
        <w:rPr>
          <w:rFonts w:hint="eastAsia" w:eastAsia="仿宋_GB2312" w:cs="Times New Roman"/>
          <w:szCs w:val="32"/>
        </w:rPr>
        <w:t>“散乱污”企业</w:t>
      </w:r>
      <w:r>
        <w:rPr>
          <w:rFonts w:eastAsia="仿宋_GB2312" w:cs="Times New Roman"/>
          <w:szCs w:val="32"/>
        </w:rPr>
        <w:t>集中整治。</w:t>
      </w:r>
      <w:r>
        <w:rPr>
          <w:rFonts w:hint="eastAsia" w:eastAsia="仿宋_GB2312" w:cs="Times New Roman"/>
          <w:szCs w:val="32"/>
        </w:rPr>
        <w:t>区内燃煤锅炉全部使用燃气锅炉进行替代，商业散煤实现清零。完成6家单位30台锅炉共823蒸吨的燃气锅炉低氮改造。区内20蒸吨及以上燃气锅炉全部安装在线监测系统。严格执行“六个百分之百”扬尘管控措施，强化裸地治理。全区10个街道、西站站区办全部安装空气质量监测设备，实行空气质量6项污染物指标全天候监测，建立科技指导巡查机制。</w:t>
      </w:r>
    </w:p>
    <w:p>
      <w:pPr>
        <w:pStyle w:val="10"/>
        <w:ind w:firstLine="640"/>
        <w:rPr>
          <w:rFonts w:eastAsia="仿宋_GB2312" w:cs="Times New Roman"/>
          <w:szCs w:val="32"/>
        </w:rPr>
      </w:pPr>
      <w:r>
        <w:rPr>
          <w:rFonts w:hint="eastAsia" w:eastAsia="仿宋_GB2312" w:cs="Times New Roman"/>
          <w:szCs w:val="32"/>
        </w:rPr>
        <w:t>完成老旧车淘汰任务。对区内1790辆中重型柴油车24个用车大户开展“一户一档”管控。高标准完成45辆中重型柴油车加装颗粒物捕集器（DPF）环保验收。每年利用遥感监测等技术筛查机动车10万辆。强化生态环境、公安交管联合执法，严厉查处机动车超标排放行为。</w:t>
      </w:r>
    </w:p>
    <w:p>
      <w:pPr>
        <w:pStyle w:val="10"/>
        <w:ind w:firstLine="640"/>
        <w:rPr>
          <w:rFonts w:eastAsia="仿宋_GB2312" w:cs="Times New Roman"/>
          <w:szCs w:val="32"/>
        </w:rPr>
      </w:pPr>
      <w:r>
        <w:rPr>
          <w:rFonts w:hint="eastAsia" w:eastAsia="仿宋_GB2312" w:cs="Times New Roman"/>
          <w:szCs w:val="32"/>
        </w:rPr>
        <w:t>2020年</w:t>
      </w:r>
      <w:r>
        <w:rPr>
          <w:rFonts w:eastAsia="仿宋_GB2312" w:cs="Times New Roman"/>
          <w:szCs w:val="32"/>
        </w:rPr>
        <w:t>，</w:t>
      </w:r>
      <w:r>
        <w:rPr>
          <w:rFonts w:hint="eastAsia" w:eastAsia="仿宋_GB2312" w:cs="Times New Roman"/>
          <w:szCs w:val="32"/>
        </w:rPr>
        <w:t>全区</w:t>
      </w:r>
      <w:r>
        <w:rPr>
          <w:rFonts w:eastAsia="仿宋_GB2312" w:cs="Times New Roman"/>
          <w:szCs w:val="32"/>
        </w:rPr>
        <w:t>空气质量综合指数为</w:t>
      </w:r>
      <w:r>
        <w:rPr>
          <w:rFonts w:hint="eastAsia" w:eastAsia="仿宋_GB2312" w:cs="Times New Roman"/>
          <w:szCs w:val="32"/>
        </w:rPr>
        <w:t>5.02，</w:t>
      </w:r>
      <w:r>
        <w:rPr>
          <w:rFonts w:eastAsia="仿宋_GB2312" w:cs="Times New Roman"/>
          <w:szCs w:val="32"/>
        </w:rPr>
        <w:t>较2015</w:t>
      </w:r>
      <w:r>
        <w:rPr>
          <w:rFonts w:hint="eastAsia" w:eastAsia="仿宋_GB2312" w:cs="Times New Roman"/>
          <w:szCs w:val="32"/>
        </w:rPr>
        <w:t>年</w:t>
      </w:r>
      <w:r>
        <w:rPr>
          <w:rFonts w:eastAsia="仿宋_GB2312" w:cs="Times New Roman"/>
          <w:szCs w:val="32"/>
        </w:rPr>
        <w:t>下降</w:t>
      </w:r>
      <w:r>
        <w:rPr>
          <w:rFonts w:hint="eastAsia" w:eastAsia="仿宋_GB2312" w:cs="Times New Roman"/>
          <w:szCs w:val="32"/>
        </w:rPr>
        <w:t>1.98。</w:t>
      </w:r>
      <w:r>
        <w:rPr>
          <w:rFonts w:eastAsia="仿宋_GB2312" w:cs="Times New Roman"/>
          <w:szCs w:val="32"/>
        </w:rPr>
        <w:t>重污染</w:t>
      </w:r>
      <w:r>
        <w:rPr>
          <w:rFonts w:hint="eastAsia" w:eastAsia="仿宋_GB2312" w:cs="Times New Roman"/>
          <w:szCs w:val="32"/>
        </w:rPr>
        <w:t>天数11天</w:t>
      </w:r>
      <w:r>
        <w:rPr>
          <w:rFonts w:eastAsia="仿宋_GB2312" w:cs="Times New Roman"/>
          <w:szCs w:val="32"/>
        </w:rPr>
        <w:t>，较</w:t>
      </w:r>
      <w:r>
        <w:rPr>
          <w:rFonts w:hint="eastAsia" w:eastAsia="仿宋_GB2312" w:cs="Times New Roman"/>
          <w:szCs w:val="32"/>
        </w:rPr>
        <w:t>2015年</w:t>
      </w:r>
      <w:r>
        <w:rPr>
          <w:rFonts w:eastAsia="仿宋_GB2312" w:cs="Times New Roman"/>
          <w:szCs w:val="32"/>
        </w:rPr>
        <w:t>减少</w:t>
      </w:r>
      <w:r>
        <w:rPr>
          <w:rFonts w:hint="eastAsia" w:eastAsia="仿宋_GB2312" w:cs="Times New Roman"/>
          <w:szCs w:val="32"/>
        </w:rPr>
        <w:t>15天</w:t>
      </w:r>
      <w:r>
        <w:rPr>
          <w:rFonts w:eastAsia="仿宋_GB2312" w:cs="Times New Roman"/>
          <w:szCs w:val="32"/>
        </w:rPr>
        <w:t>；</w:t>
      </w:r>
      <w:r>
        <w:rPr>
          <w:rFonts w:hint="eastAsia" w:eastAsia="仿宋_GB2312" w:cs="Times New Roman"/>
          <w:szCs w:val="32"/>
        </w:rPr>
        <w:t>6项主要</w:t>
      </w:r>
      <w:r>
        <w:rPr>
          <w:rFonts w:eastAsia="仿宋_GB2312" w:cs="Times New Roman"/>
          <w:szCs w:val="32"/>
        </w:rPr>
        <w:t>污染物</w:t>
      </w:r>
      <w:r>
        <w:rPr>
          <w:rFonts w:hint="eastAsia" w:eastAsia="仿宋_GB2312" w:cs="Times New Roman"/>
          <w:szCs w:val="32"/>
        </w:rPr>
        <w:t>浓度均明显下降，SO</w:t>
      </w:r>
      <w:r>
        <w:rPr>
          <w:rFonts w:hint="eastAsia" w:eastAsia="仿宋_GB2312" w:cs="Times New Roman"/>
          <w:szCs w:val="32"/>
          <w:vertAlign w:val="subscript"/>
        </w:rPr>
        <w:t>2</w:t>
      </w:r>
      <w:r>
        <w:rPr>
          <w:rFonts w:hint="eastAsia" w:eastAsia="仿宋_GB2312" w:cs="Times New Roman"/>
          <w:szCs w:val="32"/>
        </w:rPr>
        <w:t>、NO</w:t>
      </w:r>
      <w:r>
        <w:rPr>
          <w:rFonts w:hint="eastAsia" w:eastAsia="仿宋_GB2312" w:cs="Times New Roman"/>
          <w:szCs w:val="32"/>
          <w:vertAlign w:val="subscript"/>
        </w:rPr>
        <w:t>2</w:t>
      </w:r>
      <w:r>
        <w:rPr>
          <w:rFonts w:hint="eastAsia" w:eastAsia="仿宋_GB2312" w:cs="Times New Roman"/>
          <w:szCs w:val="32"/>
        </w:rPr>
        <w:t>、PM</w:t>
      </w:r>
      <w:r>
        <w:rPr>
          <w:rFonts w:hint="eastAsia" w:eastAsia="仿宋_GB2312" w:cs="Times New Roman"/>
          <w:szCs w:val="32"/>
          <w:vertAlign w:val="subscript"/>
        </w:rPr>
        <w:t>10</w:t>
      </w:r>
      <w:r>
        <w:rPr>
          <w:rFonts w:hint="eastAsia" w:eastAsia="仿宋_GB2312" w:cs="Times New Roman"/>
          <w:szCs w:val="32"/>
        </w:rPr>
        <w:t>、PM</w:t>
      </w:r>
      <w:r>
        <w:rPr>
          <w:rFonts w:hint="eastAsia" w:eastAsia="仿宋_GB2312" w:cs="Times New Roman"/>
          <w:szCs w:val="32"/>
          <w:vertAlign w:val="subscript"/>
        </w:rPr>
        <w:t>2.5</w:t>
      </w:r>
      <w:r>
        <w:rPr>
          <w:rFonts w:hint="eastAsia" w:eastAsia="仿宋_GB2312" w:cs="Times New Roman"/>
          <w:szCs w:val="32"/>
        </w:rPr>
        <w:t>和CO浓度较2015年分别下降73.5%、14.3%、39.8%、29.0%和46.9%，O</w:t>
      </w:r>
      <w:r>
        <w:rPr>
          <w:rFonts w:hint="eastAsia" w:eastAsia="仿宋_GB2312" w:cs="Times New Roman"/>
          <w:szCs w:val="32"/>
          <w:vertAlign w:val="subscript"/>
        </w:rPr>
        <w:t>3</w:t>
      </w:r>
      <w:r>
        <w:rPr>
          <w:rFonts w:hint="eastAsia" w:eastAsia="仿宋_GB2312" w:cs="Times New Roman"/>
          <w:szCs w:val="32"/>
        </w:rPr>
        <w:t>浓度较2015年上升24.5%。SO</w:t>
      </w:r>
      <w:r>
        <w:rPr>
          <w:rFonts w:hint="eastAsia" w:eastAsia="仿宋_GB2312" w:cs="Times New Roman"/>
          <w:szCs w:val="32"/>
          <w:vertAlign w:val="subscript"/>
        </w:rPr>
        <w:t>2</w:t>
      </w:r>
      <w:r>
        <w:rPr>
          <w:rFonts w:hint="eastAsia" w:eastAsia="仿宋_GB2312" w:cs="Times New Roman"/>
          <w:szCs w:val="32"/>
        </w:rPr>
        <w:t>、CO浓度稳定达到国家标准。</w:t>
      </w:r>
    </w:p>
    <w:p>
      <w:pPr>
        <w:pStyle w:val="5"/>
        <w:spacing w:before="120"/>
        <w:ind w:firstLine="643"/>
        <w:rPr>
          <w:b/>
        </w:rPr>
      </w:pPr>
      <w:r>
        <w:rPr>
          <w:rFonts w:hint="eastAsia"/>
          <w:b/>
        </w:rPr>
        <w:t>2、持续</w:t>
      </w:r>
      <w:r>
        <w:rPr>
          <w:b/>
        </w:rPr>
        <w:t>打</w:t>
      </w:r>
      <w:r>
        <w:rPr>
          <w:rFonts w:hint="eastAsia"/>
          <w:b/>
        </w:rPr>
        <w:t>好碧水</w:t>
      </w:r>
      <w:r>
        <w:rPr>
          <w:b/>
        </w:rPr>
        <w:t>保卫战</w:t>
      </w:r>
    </w:p>
    <w:p>
      <w:pPr>
        <w:pStyle w:val="10"/>
        <w:ind w:firstLine="640"/>
        <w:rPr>
          <w:rFonts w:eastAsia="仿宋_GB2312" w:cs="Times New Roman"/>
          <w:szCs w:val="32"/>
        </w:rPr>
      </w:pPr>
      <w:r>
        <w:rPr>
          <w:rFonts w:hint="eastAsia" w:eastAsia="仿宋_GB2312" w:cs="Times New Roman"/>
          <w:szCs w:val="32"/>
        </w:rPr>
        <w:t>坚持控源、治污、扩容、严管多措并举，深入实施水污染防治。严格建设项目审批，新建、改建、扩建项目实行主要污染物排放倍量替代。完成水资源、水环境承载能力现状评价。圆满完成各年度减排任务，2017-2020年实现水污染物排放量增减平衡。强化工业企业水污染分类治理，完成天津津酒集团有限公司污水自动在线装置的安装工作。推动九家社区卫生服务中心完成污水治理设施提标改造工程。</w:t>
      </w:r>
    </w:p>
    <w:p>
      <w:pPr>
        <w:pStyle w:val="10"/>
        <w:ind w:firstLine="640"/>
        <w:rPr>
          <w:rFonts w:eastAsia="仿宋_GB2312" w:cs="Times New Roman"/>
          <w:szCs w:val="32"/>
        </w:rPr>
      </w:pPr>
      <w:r>
        <w:rPr>
          <w:rFonts w:hint="eastAsia" w:eastAsia="仿宋_GB2312" w:cs="Times New Roman"/>
          <w:szCs w:val="32"/>
        </w:rPr>
        <w:t>加大对“三河五岸”周边环境治理，保持水生态环境优化。完成“一河一策”和西沽湖“一湖一策”方案编制和任务实施。实施水生态净化修复工程，加强滨河（湖）带生态建设。完成3座自动在线监测站建设，健全水环境监测网络。</w:t>
      </w:r>
    </w:p>
    <w:p>
      <w:pPr>
        <w:pStyle w:val="10"/>
        <w:ind w:firstLine="640"/>
        <w:rPr>
          <w:rFonts w:eastAsia="仿宋_GB2312" w:cs="Times New Roman"/>
          <w:szCs w:val="32"/>
        </w:rPr>
      </w:pPr>
      <w:r>
        <w:rPr>
          <w:rFonts w:hint="eastAsia" w:eastAsia="仿宋_GB2312" w:cs="Times New Roman"/>
          <w:szCs w:val="32"/>
        </w:rPr>
        <w:t>加强执法监测，严格督办考核。通过建立双协调、双考核、双排查等机制，开展河道与湖泊，地上与地下的二维治理模式，积极推动我区水污染防治工作。</w:t>
      </w:r>
    </w:p>
    <w:p>
      <w:pPr>
        <w:pStyle w:val="10"/>
        <w:ind w:firstLine="640"/>
        <w:rPr>
          <w:rFonts w:eastAsia="仿宋_GB2312" w:cs="Times New Roman"/>
          <w:szCs w:val="32"/>
        </w:rPr>
      </w:pPr>
      <w:r>
        <w:rPr>
          <w:rFonts w:eastAsia="仿宋_GB2312" w:cs="Times New Roman"/>
          <w:szCs w:val="32"/>
        </w:rPr>
        <w:t>全区消除黑臭水体，</w:t>
      </w:r>
      <w:r>
        <w:rPr>
          <w:rFonts w:hint="eastAsia" w:eastAsia="仿宋_GB2312" w:cs="Times New Roman"/>
          <w:szCs w:val="32"/>
        </w:rPr>
        <w:t>地表水</w:t>
      </w:r>
      <w:r>
        <w:rPr>
          <w:rFonts w:eastAsia="仿宋_GB2312" w:cs="Times New Roman"/>
          <w:szCs w:val="32"/>
        </w:rPr>
        <w:t>环境质量达到攻坚目标要求，地下水质量考核</w:t>
      </w:r>
      <w:r>
        <w:rPr>
          <w:rFonts w:hint="eastAsia" w:eastAsia="仿宋_GB2312" w:cs="Times New Roman"/>
          <w:szCs w:val="32"/>
        </w:rPr>
        <w:t>点位</w:t>
      </w:r>
      <w:r>
        <w:rPr>
          <w:rFonts w:eastAsia="仿宋_GB2312" w:cs="Times New Roman"/>
          <w:szCs w:val="32"/>
        </w:rPr>
        <w:t>水质级别保持稳定。</w:t>
      </w:r>
      <w:r>
        <w:rPr>
          <w:rFonts w:hint="eastAsia" w:eastAsia="仿宋_GB2312" w:cs="Times New Roman"/>
          <w:szCs w:val="32"/>
        </w:rPr>
        <w:t>实现地表水水质优良比例不低于71.4%，七个地表水考核断面达到五个Ⅲ类、两个Ⅳ类的攻坚战目标要求。2020年全区地表水考核断面累计达标率100%；地表水综合污染指数1.55，全市排名第三。地表水环境质量全年累计排名全市第十。水质逐年改善，居于全市领先水平。</w:t>
      </w:r>
    </w:p>
    <w:p>
      <w:pPr>
        <w:pStyle w:val="5"/>
        <w:spacing w:before="120"/>
        <w:ind w:firstLine="643"/>
        <w:rPr>
          <w:b/>
        </w:rPr>
      </w:pPr>
      <w:r>
        <w:rPr>
          <w:rFonts w:hint="eastAsia"/>
          <w:b/>
        </w:rPr>
        <w:t>3、全力</w:t>
      </w:r>
      <w:r>
        <w:rPr>
          <w:b/>
        </w:rPr>
        <w:t>打</w:t>
      </w:r>
      <w:r>
        <w:rPr>
          <w:rFonts w:hint="eastAsia"/>
          <w:b/>
        </w:rPr>
        <w:t>好净土</w:t>
      </w:r>
      <w:r>
        <w:rPr>
          <w:b/>
        </w:rPr>
        <w:t>保卫战</w:t>
      </w:r>
    </w:p>
    <w:p>
      <w:pPr>
        <w:pStyle w:val="10"/>
        <w:ind w:firstLine="640"/>
        <w:rPr>
          <w:rFonts w:eastAsia="仿宋_GB2312" w:cs="Times New Roman"/>
          <w:szCs w:val="32"/>
        </w:rPr>
      </w:pPr>
      <w:r>
        <w:rPr>
          <w:rFonts w:hint="eastAsia" w:eastAsia="仿宋_GB2312" w:cs="Times New Roman"/>
          <w:szCs w:val="32"/>
        </w:rPr>
        <w:t>建立健全</w:t>
      </w:r>
      <w:r>
        <w:rPr>
          <w:rFonts w:eastAsia="仿宋_GB2312" w:cs="Times New Roman"/>
          <w:szCs w:val="32"/>
        </w:rPr>
        <w:t>土壤污染</w:t>
      </w:r>
      <w:r>
        <w:rPr>
          <w:rFonts w:hint="eastAsia" w:eastAsia="仿宋_GB2312" w:cs="Times New Roman"/>
          <w:szCs w:val="32"/>
        </w:rPr>
        <w:t>治理</w:t>
      </w:r>
      <w:r>
        <w:rPr>
          <w:rFonts w:eastAsia="仿宋_GB2312" w:cs="Times New Roman"/>
          <w:szCs w:val="32"/>
        </w:rPr>
        <w:t>与修复监管体系，完善保障措施</w:t>
      </w:r>
      <w:r>
        <w:rPr>
          <w:rFonts w:hint="eastAsia" w:eastAsia="仿宋_GB2312" w:cs="Times New Roman"/>
          <w:szCs w:val="32"/>
        </w:rPr>
        <w:t>。严格准入、防控风险，扎实推进土壤污染状况详查。完成涉镉等重金属工业企业排查等相关行动，确定土壤环境重点监管企业名单。组织开展单家面铺地块、西于庄棚户区拆迁地块、铃铛阁拆迁指挥部地块、碧春园幼儿园地块、红桥区档案馆地块等多个地块土壤环境风险调查评估，建立污染地块名录及开发利用负面清单并逐年更新。建设土壤环境质量检测网络，完成土壤环境信息化管理平台建设共享工作。</w:t>
      </w:r>
    </w:p>
    <w:p>
      <w:pPr>
        <w:pStyle w:val="10"/>
        <w:ind w:firstLine="640"/>
        <w:rPr>
          <w:rFonts w:eastAsia="仿宋_GB2312" w:cs="Times New Roman"/>
          <w:szCs w:val="32"/>
        </w:rPr>
      </w:pPr>
      <w:r>
        <w:rPr>
          <w:rFonts w:hint="eastAsia" w:eastAsia="仿宋_GB2312" w:cs="Times New Roman"/>
          <w:szCs w:val="32"/>
        </w:rPr>
        <w:t>建立建设用地土壤环境质量强制调查评估制度，加强规划、供地等环节的土壤环境监管。建立部门信息共享机制和土地出让项目专家评审会机制，严禁被污染地块的土地流转。</w:t>
      </w:r>
    </w:p>
    <w:p>
      <w:pPr>
        <w:pStyle w:val="10"/>
        <w:ind w:firstLine="640"/>
        <w:rPr>
          <w:rFonts w:eastAsia="仿宋_GB2312" w:cs="Times New Roman"/>
          <w:szCs w:val="32"/>
        </w:rPr>
      </w:pPr>
      <w:r>
        <w:rPr>
          <w:rFonts w:eastAsia="仿宋_GB2312" w:cs="Times New Roman"/>
          <w:szCs w:val="32"/>
        </w:rPr>
        <w:t>全区污染地块安全利用率达到</w:t>
      </w:r>
      <w:r>
        <w:rPr>
          <w:rFonts w:hint="eastAsia" w:eastAsia="仿宋_GB2312" w:cs="Times New Roman"/>
          <w:szCs w:val="32"/>
        </w:rPr>
        <w:t>100</w:t>
      </w:r>
      <w:r>
        <w:rPr>
          <w:rFonts w:eastAsia="仿宋_GB2312" w:cs="Times New Roman"/>
          <w:szCs w:val="32"/>
        </w:rPr>
        <w:t>%，土壤污染加重趋势得到初步遏制，</w:t>
      </w:r>
      <w:r>
        <w:rPr>
          <w:rFonts w:hint="eastAsia" w:eastAsia="仿宋_GB2312" w:cs="Times New Roman"/>
          <w:szCs w:val="32"/>
        </w:rPr>
        <w:t>土壤</w:t>
      </w:r>
      <w:r>
        <w:rPr>
          <w:rFonts w:eastAsia="仿宋_GB2312" w:cs="Times New Roman"/>
          <w:szCs w:val="32"/>
        </w:rPr>
        <w:t>环境质量总体保持稳定</w:t>
      </w:r>
      <w:r>
        <w:rPr>
          <w:rFonts w:hint="eastAsia" w:eastAsia="仿宋_GB2312" w:cs="Times New Roman"/>
          <w:szCs w:val="32"/>
        </w:rPr>
        <w:t>。</w:t>
      </w:r>
      <w:r>
        <w:rPr>
          <w:rFonts w:eastAsia="仿宋_GB2312" w:cs="Times New Roman"/>
          <w:szCs w:val="32"/>
        </w:rPr>
        <w:t>建设用地土壤环境安全得到基本保障，土壤环境风险得到</w:t>
      </w:r>
      <w:r>
        <w:rPr>
          <w:rFonts w:hint="eastAsia" w:eastAsia="仿宋_GB2312" w:cs="Times New Roman"/>
          <w:szCs w:val="32"/>
        </w:rPr>
        <w:t>全面</w:t>
      </w:r>
      <w:r>
        <w:rPr>
          <w:rFonts w:eastAsia="仿宋_GB2312" w:cs="Times New Roman"/>
          <w:szCs w:val="32"/>
        </w:rPr>
        <w:t>管控</w:t>
      </w:r>
      <w:r>
        <w:rPr>
          <w:rFonts w:hint="eastAsia" w:eastAsia="仿宋_GB2312" w:cs="Times New Roman"/>
          <w:szCs w:val="32"/>
        </w:rPr>
        <w:t>，未发生土壤污染事件。</w:t>
      </w:r>
      <w:r>
        <w:rPr>
          <w:rFonts w:eastAsia="仿宋_GB2312" w:cs="Times New Roman"/>
          <w:szCs w:val="32"/>
        </w:rPr>
        <w:t>工业固体废物综合利用率达到100%，危险废物集中处置率达到100%。</w:t>
      </w:r>
    </w:p>
    <w:p>
      <w:pPr>
        <w:pStyle w:val="4"/>
        <w:spacing w:before="120"/>
        <w:ind w:firstLine="640"/>
        <w:rPr>
          <w:lang w:val="zh-CN"/>
        </w:rPr>
      </w:pPr>
      <w:bookmarkStart w:id="8" w:name="_Toc66713922"/>
      <w:r>
        <w:rPr>
          <w:rFonts w:hint="eastAsia"/>
          <w:lang w:val="zh-CN"/>
        </w:rPr>
        <w:t>（二）生态保护和建设持续推进</w:t>
      </w:r>
      <w:bookmarkEnd w:id="8"/>
    </w:p>
    <w:p>
      <w:pPr>
        <w:pStyle w:val="10"/>
        <w:ind w:firstLine="640"/>
        <w:rPr>
          <w:rFonts w:eastAsia="仿宋_GB2312" w:cs="Times New Roman"/>
          <w:szCs w:val="32"/>
        </w:rPr>
      </w:pPr>
      <w:r>
        <w:rPr>
          <w:rFonts w:hint="eastAsia" w:eastAsia="仿宋_GB2312" w:cs="Times New Roman"/>
          <w:szCs w:val="32"/>
        </w:rPr>
        <w:t>加强全区生态环境保护工作组织领导和统筹协调，成立红桥区生态环境保护委员会，进一步落实生态环境保护“党政同责”“一岗双责”，统筹协调生态环境保护重大问题，构建“大生态、大环保”工作格局。</w:t>
      </w:r>
    </w:p>
    <w:p>
      <w:pPr>
        <w:pStyle w:val="5"/>
        <w:spacing w:before="120"/>
        <w:ind w:firstLine="643"/>
        <w:rPr>
          <w:b/>
        </w:rPr>
      </w:pPr>
      <w:r>
        <w:rPr>
          <w:rFonts w:hint="eastAsia"/>
          <w:b/>
        </w:rPr>
        <w:t>1、严格落实生态空间管控</w:t>
      </w:r>
    </w:p>
    <w:p>
      <w:pPr>
        <w:pStyle w:val="10"/>
        <w:ind w:firstLine="640"/>
        <w:rPr>
          <w:rFonts w:eastAsia="仿宋_GB2312" w:cs="Times New Roman"/>
          <w:szCs w:val="32"/>
        </w:rPr>
      </w:pPr>
      <w:r>
        <w:rPr>
          <w:rFonts w:hint="eastAsia" w:eastAsia="仿宋_GB2312" w:cs="Times New Roman"/>
          <w:szCs w:val="32"/>
        </w:rPr>
        <w:t>确定生态保护红线，制定各类生态环境保护方案、制度、规范，扎实推进生态红线和永久性保护生态区域保护工作。制定实施永久性保护生态区域考核计划，完成遥感点位整改。建立永久性保护生态区域监察巡护制度和常规化、定期化的生态环境动态评估制度。</w:t>
      </w:r>
    </w:p>
    <w:p>
      <w:pPr>
        <w:pStyle w:val="5"/>
        <w:spacing w:before="120"/>
        <w:ind w:firstLine="643"/>
        <w:rPr>
          <w:b/>
        </w:rPr>
      </w:pPr>
      <w:r>
        <w:rPr>
          <w:rFonts w:hint="eastAsia"/>
          <w:b/>
        </w:rPr>
        <w:t>2、增强低碳发展基础能力</w:t>
      </w:r>
    </w:p>
    <w:p>
      <w:pPr>
        <w:pStyle w:val="10"/>
        <w:ind w:firstLine="640"/>
        <w:rPr>
          <w:rFonts w:eastAsia="仿宋_GB2312" w:cs="Times New Roman"/>
          <w:szCs w:val="32"/>
        </w:rPr>
      </w:pPr>
      <w:r>
        <w:rPr>
          <w:rFonts w:hint="eastAsia" w:eastAsia="仿宋_GB2312" w:cs="Times New Roman"/>
          <w:szCs w:val="32"/>
        </w:rPr>
        <w:t>顺利完成第二次污染源普查，推广节能低碳技术，节能减排降碳完成目标任务。编制区级温室气体清单，增强应对气候变化基础能力。推进企业自觉守法、落实企业环境保护主体责任，区内5家重点排污单位全部进行信息公开。做好声环境</w:t>
      </w:r>
      <w:r>
        <w:rPr>
          <w:rFonts w:eastAsia="仿宋_GB2312" w:cs="Times New Roman"/>
          <w:szCs w:val="32"/>
        </w:rPr>
        <w:t>保护，推进</w:t>
      </w:r>
      <w:r>
        <w:rPr>
          <w:rFonts w:hint="eastAsia" w:eastAsia="仿宋_GB2312" w:cs="Times New Roman"/>
          <w:szCs w:val="32"/>
        </w:rPr>
        <w:t>声环境</w:t>
      </w:r>
      <w:r>
        <w:rPr>
          <w:rFonts w:eastAsia="仿宋_GB2312" w:cs="Times New Roman"/>
          <w:szCs w:val="32"/>
        </w:rPr>
        <w:t>自动监测站点建设</w:t>
      </w:r>
      <w:r>
        <w:rPr>
          <w:rFonts w:hint="eastAsia" w:eastAsia="仿宋_GB2312" w:cs="Times New Roman"/>
          <w:szCs w:val="32"/>
        </w:rPr>
        <w:t>噪声环境质量状况保持稳定，声环境质量达到《国家卫生城市标准》的要求。</w:t>
      </w:r>
    </w:p>
    <w:p>
      <w:pPr>
        <w:pStyle w:val="5"/>
        <w:spacing w:before="120"/>
        <w:ind w:firstLine="643"/>
        <w:rPr>
          <w:b/>
        </w:rPr>
      </w:pPr>
      <w:r>
        <w:rPr>
          <w:rFonts w:hint="eastAsia"/>
          <w:b/>
        </w:rPr>
        <w:t>3、持续强化环境应急能力建设</w:t>
      </w:r>
    </w:p>
    <w:p>
      <w:pPr>
        <w:pStyle w:val="10"/>
        <w:ind w:firstLine="640"/>
        <w:rPr>
          <w:rFonts w:eastAsia="仿宋_GB2312" w:cs="Times New Roman"/>
          <w:szCs w:val="32"/>
        </w:rPr>
      </w:pPr>
      <w:r>
        <w:rPr>
          <w:rFonts w:hint="eastAsia" w:eastAsia="仿宋_GB2312" w:cs="Times New Roman"/>
          <w:szCs w:val="32"/>
        </w:rPr>
        <w:t>加大环境监测和执法监督力度，逐步建成环境安全监管预警体系。制定印发专项应急预案，并定期更新完善。成立突发环境事件应急指挥部，建立突发环境事件报送系统。坚持从实战出发，定期开展突发环境污染事故应急演练。2017年至2020年，全区未发生重大环境污染和生态破坏事故。</w:t>
      </w:r>
    </w:p>
    <w:p>
      <w:pPr>
        <w:pStyle w:val="4"/>
        <w:spacing w:before="120"/>
        <w:ind w:firstLine="640"/>
        <w:rPr>
          <w:lang w:val="zh-CN"/>
        </w:rPr>
      </w:pPr>
      <w:bookmarkStart w:id="9" w:name="_Toc66713923"/>
      <w:r>
        <w:rPr>
          <w:rFonts w:hint="eastAsia"/>
          <w:lang w:val="zh-CN"/>
        </w:rPr>
        <w:t>（三）生态环境管理能力日益增强</w:t>
      </w:r>
      <w:bookmarkEnd w:id="9"/>
    </w:p>
    <w:p>
      <w:pPr>
        <w:pStyle w:val="5"/>
        <w:spacing w:before="120"/>
        <w:ind w:firstLine="643"/>
        <w:rPr>
          <w:b/>
        </w:rPr>
      </w:pPr>
      <w:r>
        <w:rPr>
          <w:rFonts w:hint="eastAsia"/>
          <w:b/>
        </w:rPr>
        <w:t>1、积极实施生态环境保护领域改革</w:t>
      </w:r>
    </w:p>
    <w:p>
      <w:pPr>
        <w:pStyle w:val="10"/>
        <w:ind w:firstLine="640"/>
        <w:rPr>
          <w:rFonts w:eastAsia="仿宋_GB2312" w:cs="Times New Roman"/>
          <w:szCs w:val="32"/>
        </w:rPr>
      </w:pPr>
      <w:r>
        <w:rPr>
          <w:rFonts w:hint="eastAsia" w:eastAsia="仿宋_GB2312" w:cs="Times New Roman"/>
          <w:szCs w:val="32"/>
        </w:rPr>
        <w:t>完成区环保管理体制改革机构编制调整，深化环保队伍能力建设。区环境监察支队更名为区生态环境保护综合行政执法支队，增加事业编制20名，</w:t>
      </w:r>
      <w:r>
        <w:rPr>
          <w:rFonts w:eastAsia="仿宋_GB2312" w:cs="Times New Roman"/>
          <w:szCs w:val="32"/>
        </w:rPr>
        <w:t>区生态环境监测中心揭牌。</w:t>
      </w:r>
      <w:r>
        <w:rPr>
          <w:rFonts w:hint="eastAsia" w:eastAsia="仿宋_GB2312" w:cs="Times New Roman"/>
          <w:szCs w:val="32"/>
        </w:rPr>
        <w:t>建立健全条块结合、各司其职、权责明确、保障有力、权威高效的环境保护管理体制。</w:t>
      </w:r>
    </w:p>
    <w:p>
      <w:pPr>
        <w:pStyle w:val="5"/>
        <w:spacing w:before="120"/>
        <w:ind w:firstLine="643"/>
        <w:rPr>
          <w:b/>
        </w:rPr>
      </w:pPr>
      <w:r>
        <w:rPr>
          <w:rFonts w:hint="eastAsia"/>
          <w:b/>
        </w:rPr>
        <w:t>2、大力开展生态环境保护能力建设</w:t>
      </w:r>
    </w:p>
    <w:p>
      <w:pPr>
        <w:pStyle w:val="10"/>
        <w:ind w:firstLine="640"/>
        <w:rPr>
          <w:rFonts w:eastAsia="仿宋_GB2312" w:cs="Times New Roman"/>
          <w:szCs w:val="32"/>
        </w:rPr>
      </w:pPr>
      <w:r>
        <w:rPr>
          <w:rFonts w:hint="eastAsia" w:eastAsia="仿宋_GB2312" w:cs="Times New Roman"/>
          <w:szCs w:val="32"/>
        </w:rPr>
        <w:t>深入开展丰富多样的宣传、教育和培训，开展绿色社区、绿色园区、生态型商务楼宇建设，引导公众逐步形成低碳绿色的生活模式和消费方式。制定生态环境教育工作计划，组织中小学开展假期社会实践走进环境教育基地活动。开展打击非法放生宣传活动并组织联合执法。</w:t>
      </w:r>
    </w:p>
    <w:p>
      <w:pPr>
        <w:pStyle w:val="5"/>
        <w:spacing w:before="120"/>
        <w:ind w:firstLine="643"/>
        <w:rPr>
          <w:b/>
        </w:rPr>
      </w:pPr>
      <w:r>
        <w:rPr>
          <w:rFonts w:hint="eastAsia"/>
          <w:b/>
        </w:rPr>
        <w:t>3、及时处理群众反映生态环境问题</w:t>
      </w:r>
    </w:p>
    <w:p>
      <w:pPr>
        <w:pStyle w:val="10"/>
        <w:ind w:firstLine="640"/>
        <w:rPr>
          <w:rFonts w:eastAsia="仿宋_GB2312" w:cs="Times New Roman"/>
          <w:szCs w:val="32"/>
        </w:rPr>
      </w:pPr>
      <w:r>
        <w:rPr>
          <w:rFonts w:hint="eastAsia" w:eastAsia="仿宋_GB2312" w:cs="Times New Roman"/>
          <w:szCs w:val="32"/>
        </w:rPr>
        <w:t>对群众反映的生态环境问题逐一进行调查、核实、解决，严格按照办理时限，做到有举报必查处，有举报必回复。2017年以来共办结8890热线、12369热线、微信、政民零距离等各类平台转办件共计5341件，办结率100%。</w:t>
      </w:r>
    </w:p>
    <w:p>
      <w:pPr>
        <w:pStyle w:val="3"/>
        <w:ind w:firstLine="640"/>
      </w:pPr>
      <w:bookmarkStart w:id="10" w:name="_Toc66713924"/>
      <w:r>
        <w:rPr>
          <w:rFonts w:hint="eastAsia"/>
          <w:lang w:val="zh-CN"/>
        </w:rPr>
        <w:t>二</w:t>
      </w:r>
      <w:r>
        <w:rPr>
          <w:lang w:val="zh-CN"/>
        </w:rPr>
        <w:t>、</w:t>
      </w:r>
      <w:r>
        <w:rPr>
          <w:rFonts w:hint="eastAsia"/>
        </w:rPr>
        <w:t>“</w:t>
      </w:r>
      <w:r>
        <w:rPr>
          <w:rFonts w:hint="eastAsia"/>
          <w:lang w:val="zh-CN"/>
        </w:rPr>
        <w:t>十四五</w:t>
      </w:r>
      <w:r>
        <w:rPr>
          <w:rFonts w:hint="eastAsia"/>
        </w:rPr>
        <w:t>”时期</w:t>
      </w:r>
      <w:r>
        <w:rPr>
          <w:rFonts w:hint="eastAsia"/>
          <w:lang w:val="zh-CN"/>
        </w:rPr>
        <w:t>面临的形势</w:t>
      </w:r>
      <w:bookmarkEnd w:id="10"/>
    </w:p>
    <w:p>
      <w:pPr>
        <w:pStyle w:val="4"/>
        <w:spacing w:before="120"/>
        <w:ind w:firstLine="640"/>
        <w:rPr>
          <w:lang w:val="zh-CN"/>
        </w:rPr>
      </w:pPr>
      <w:bookmarkStart w:id="11" w:name="_Toc66713925"/>
      <w:r>
        <w:rPr>
          <w:rFonts w:hint="eastAsia"/>
          <w:lang w:val="zh-CN"/>
        </w:rPr>
        <w:t>（一）发展机遇</w:t>
      </w:r>
      <w:bookmarkEnd w:id="11"/>
    </w:p>
    <w:p>
      <w:pPr>
        <w:pStyle w:val="10"/>
        <w:ind w:firstLine="640"/>
        <w:rPr>
          <w:rFonts w:eastAsia="仿宋_GB2312" w:cs="Times New Roman"/>
          <w:szCs w:val="32"/>
        </w:rPr>
      </w:pPr>
      <w:r>
        <w:rPr>
          <w:rFonts w:hint="eastAsia" w:eastAsia="仿宋_GB2312" w:cs="Times New Roman"/>
          <w:szCs w:val="32"/>
        </w:rPr>
        <w:t>我国以国内大循环为主体、国内国际双循环相互促进的新发展格局正在逐步形成。天津加快实现“一基地三区”功能定位，构建“津城”“滨城”双城发展格局，有利于高质量发展的积极因素不断累积。红桥区位于京津冀协同发展的核心区域，京津发展主轴上，成为承接北京非首都功能疏解、服务雄安新区的桥头堡。西站综合性交通体系建设拓展了辐射空间，产业资源融合为高端产业提供了发展空间，棚户区改造释放激活了资源载体空间。大运河</w:t>
      </w:r>
      <w:r>
        <w:rPr>
          <w:rFonts w:eastAsia="仿宋_GB2312" w:cs="Times New Roman"/>
          <w:szCs w:val="32"/>
        </w:rPr>
        <w:t>国家文化公园增添了生态红桥的新亮色</w:t>
      </w:r>
      <w:r>
        <w:rPr>
          <w:rFonts w:hint="eastAsia" w:eastAsia="仿宋_GB2312" w:cs="Times New Roman"/>
          <w:szCs w:val="32"/>
        </w:rPr>
        <w:t>，全区城市环境更加宜居宜业，绿色发展本底更加坚实。</w:t>
      </w:r>
    </w:p>
    <w:p>
      <w:pPr>
        <w:pStyle w:val="4"/>
        <w:spacing w:before="120"/>
        <w:ind w:firstLine="640"/>
        <w:rPr>
          <w:lang w:val="zh-CN"/>
        </w:rPr>
      </w:pPr>
      <w:bookmarkStart w:id="12" w:name="_Toc66713926"/>
      <w:r>
        <w:rPr>
          <w:rFonts w:hint="eastAsia"/>
          <w:lang w:val="zh-CN"/>
        </w:rPr>
        <w:t>（二）发展挑战</w:t>
      </w:r>
      <w:bookmarkEnd w:id="12"/>
    </w:p>
    <w:p>
      <w:pPr>
        <w:pStyle w:val="10"/>
        <w:ind w:firstLine="640"/>
        <w:rPr>
          <w:rFonts w:eastAsia="仿宋_GB2312" w:cs="Times New Roman"/>
          <w:szCs w:val="32"/>
        </w:rPr>
      </w:pPr>
      <w:r>
        <w:rPr>
          <w:rFonts w:hint="eastAsia" w:eastAsia="仿宋_GB2312" w:cs="Times New Roman"/>
          <w:szCs w:val="32"/>
        </w:rPr>
        <w:t>“十四五”时期，红桥发展的外部环境和内部条件不确定性更大，风险挑战更多。全区发展不平衡不充分问题仍然突出，综合经济实力还不够强，产业结构单一，受外部环境影响较大。我区的环境质量虽然逐步向好，但与污染防治攻坚战目标任务和群众企盼还有很大差距，生态环境保护面临的形势依然严峻复杂。我区新兴产业发展不够充分，市场主体数量和活力不足。全区环境质量总体不佳，空气质量难以稳定达标，臭氧污染问题凸显。生态环境治理体系与治理能力管理体系现代化水平还不够高。</w:t>
      </w:r>
    </w:p>
    <w:p>
      <w:pPr>
        <w:pStyle w:val="10"/>
        <w:ind w:firstLine="640"/>
        <w:rPr>
          <w:rFonts w:eastAsia="仿宋_GB2312" w:cs="Times New Roman"/>
          <w:szCs w:val="32"/>
        </w:rPr>
      </w:pPr>
    </w:p>
    <w:p>
      <w:pPr>
        <w:pStyle w:val="10"/>
        <w:ind w:firstLine="640"/>
        <w:rPr>
          <w:rFonts w:eastAsia="仿宋_GB2312" w:cs="Times New Roman"/>
          <w:szCs w:val="32"/>
        </w:rPr>
      </w:pPr>
    </w:p>
    <w:p>
      <w:pPr>
        <w:pStyle w:val="10"/>
        <w:ind w:firstLine="198" w:firstLineChars="62"/>
        <w:sectPr>
          <w:footerReference r:id="rId12" w:type="default"/>
          <w:pgSz w:w="11906" w:h="16838"/>
          <w:pgMar w:top="1440" w:right="1797" w:bottom="1440" w:left="1797" w:header="851" w:footer="992" w:gutter="0"/>
          <w:pgNumType w:start="1"/>
          <w:cols w:space="425" w:num="1"/>
          <w:docGrid w:linePitch="435" w:charSpace="0"/>
        </w:sectPr>
      </w:pPr>
    </w:p>
    <w:p>
      <w:pPr>
        <w:pStyle w:val="2"/>
        <w:adjustRightInd w:val="0"/>
        <w:snapToGrid w:val="0"/>
        <w:spacing w:before="0" w:after="0" w:line="360" w:lineRule="auto"/>
        <w:ind w:firstLine="0" w:firstLineChars="0"/>
        <w:jc w:val="center"/>
        <w:rPr>
          <w:rFonts w:eastAsia="黑体" w:cs="Times New Roman"/>
          <w:sz w:val="36"/>
          <w:szCs w:val="36"/>
        </w:rPr>
      </w:pPr>
      <w:bookmarkStart w:id="13" w:name="_Toc66713927"/>
      <w:r>
        <w:rPr>
          <w:rFonts w:hint="eastAsia" w:eastAsia="黑体" w:cs="Times New Roman"/>
          <w:sz w:val="36"/>
          <w:szCs w:val="36"/>
        </w:rPr>
        <w:t xml:space="preserve">第二章 </w:t>
      </w:r>
      <w:r>
        <w:rPr>
          <w:rFonts w:eastAsia="黑体" w:cs="Times New Roman"/>
          <w:sz w:val="36"/>
          <w:szCs w:val="36"/>
        </w:rPr>
        <w:t xml:space="preserve"> </w:t>
      </w:r>
      <w:r>
        <w:rPr>
          <w:rFonts w:hint="eastAsia" w:eastAsia="黑体" w:cs="Times New Roman"/>
          <w:sz w:val="36"/>
          <w:szCs w:val="36"/>
        </w:rPr>
        <w:t>指导思想和规划目标</w:t>
      </w:r>
      <w:bookmarkEnd w:id="13"/>
    </w:p>
    <w:p>
      <w:pPr>
        <w:pStyle w:val="3"/>
        <w:ind w:firstLine="640"/>
        <w:rPr>
          <w:lang w:val="zh-CN"/>
        </w:rPr>
      </w:pPr>
      <w:bookmarkStart w:id="14" w:name="_Toc66713928"/>
      <w:r>
        <w:rPr>
          <w:lang w:val="zh-CN"/>
        </w:rPr>
        <w:t>一、</w:t>
      </w:r>
      <w:r>
        <w:rPr>
          <w:rFonts w:hint="eastAsia"/>
          <w:lang w:val="zh-CN"/>
        </w:rPr>
        <w:t>指导思想</w:t>
      </w:r>
      <w:bookmarkEnd w:id="14"/>
    </w:p>
    <w:p>
      <w:pPr>
        <w:pStyle w:val="10"/>
        <w:ind w:firstLine="640"/>
        <w:rPr>
          <w:rFonts w:eastAsia="仿宋_GB2312" w:cs="Times New Roman"/>
          <w:szCs w:val="32"/>
        </w:rPr>
      </w:pPr>
      <w:r>
        <w:rPr>
          <w:rFonts w:hint="eastAsia" w:eastAsia="仿宋_GB2312" w:cs="Times New Roman"/>
          <w:szCs w:val="32"/>
        </w:rPr>
        <w:t>以习近平生态文明思想为指导，全面学习贯彻党的十九大和十九届二中、三中、四中、五中全会和中央经济工作会议精神，以习近平总书记对天津工作“三个着力”重要要求为元为纲，认真落实市委、市政府决策部署和新要求，按照区委、区政府决策部署，围绕打造生态宜居的美丽红桥的目标，统筹推进“五位一体”总体布局，协调推进“四个全面”战略布局，以环境质量改善为核心，立足新发展阶段，贯彻落实新发展理念，大力实施生态立区发展举措</w:t>
      </w:r>
      <w:r>
        <w:rPr>
          <w:rFonts w:eastAsia="仿宋_GB2312" w:cs="Times New Roman"/>
          <w:szCs w:val="32"/>
        </w:rPr>
        <w:t>，</w:t>
      </w:r>
      <w:r>
        <w:rPr>
          <w:rFonts w:hint="eastAsia" w:eastAsia="仿宋_GB2312" w:cs="Times New Roman"/>
          <w:szCs w:val="32"/>
        </w:rPr>
        <w:t>以推动绿色发展、改善环境质量、保障环境安全、维护公众健康为根本出发点，打造绿色城区、建设美丽红桥，统筹污染治理、综合防控和环境质量改善，持续用力打好大气、水、土壤污染防治攻坚战，全面提升生态环境治理能力、全面改善生态环境质量、全面扩大优质生态产品供给，不断提高生态环境保护管理水平，促进环境与发展的融合，实现经济社会与资源环境的协调发展，促进区域生态环境保护各项工作任务落到实处，为全面建设社会主义现代化大都市中心城区创造良好开局。</w:t>
      </w:r>
    </w:p>
    <w:p>
      <w:pPr>
        <w:pStyle w:val="3"/>
        <w:ind w:firstLine="640"/>
        <w:rPr>
          <w:lang w:val="zh-CN"/>
        </w:rPr>
      </w:pPr>
      <w:bookmarkStart w:id="15" w:name="_Toc66713929"/>
      <w:r>
        <w:rPr>
          <w:rFonts w:hint="eastAsia"/>
          <w:lang w:val="zh-CN"/>
        </w:rPr>
        <w:t>二</w:t>
      </w:r>
      <w:r>
        <w:rPr>
          <w:lang w:val="zh-CN"/>
        </w:rPr>
        <w:t>、</w:t>
      </w:r>
      <w:r>
        <w:rPr>
          <w:rFonts w:hint="eastAsia"/>
          <w:lang w:val="zh-CN"/>
        </w:rPr>
        <w:t>基本原则</w:t>
      </w:r>
      <w:bookmarkEnd w:id="15"/>
    </w:p>
    <w:p>
      <w:pPr>
        <w:pStyle w:val="10"/>
        <w:ind w:firstLine="643"/>
        <w:rPr>
          <w:rFonts w:eastAsia="仿宋_GB2312" w:cs="Times New Roman"/>
          <w:szCs w:val="32"/>
        </w:rPr>
      </w:pPr>
      <w:r>
        <w:rPr>
          <w:rFonts w:hint="eastAsia" w:eastAsia="仿宋_GB2312" w:cs="Times New Roman"/>
          <w:b/>
          <w:szCs w:val="32"/>
        </w:rPr>
        <w:t>生态立区，绿色发展。</w:t>
      </w:r>
      <w:r>
        <w:rPr>
          <w:rFonts w:hint="eastAsia" w:eastAsia="仿宋_GB2312" w:cs="Times New Roman"/>
          <w:szCs w:val="32"/>
        </w:rPr>
        <w:t>生态立区是我区推进生态文明建设的有效载体，是我区实现奋斗目标的重要措施，是我区深入贯彻落实习近平生态文明思想的具体体现。坚持生态立区，打造水绿交融的绿色红桥。扎实践行“绿水青山就是金山银山”的理念，积极主动融入京津冀协同发展战略，坚定不移贯彻新发展理念，谱写生态优先绿色发展新篇章，努力营造人与环境情景交融的宜居、宜业、宜游的生态环境，</w:t>
      </w:r>
      <w:r>
        <w:rPr>
          <w:rFonts w:eastAsia="仿宋_GB2312" w:cs="Times New Roman"/>
          <w:szCs w:val="32"/>
        </w:rPr>
        <w:t>建设人与自然和谐共处</w:t>
      </w:r>
      <w:r>
        <w:rPr>
          <w:rFonts w:hint="eastAsia" w:eastAsia="仿宋_GB2312" w:cs="Times New Roman"/>
          <w:szCs w:val="32"/>
        </w:rPr>
        <w:t>的</w:t>
      </w:r>
      <w:r>
        <w:rPr>
          <w:rFonts w:eastAsia="仿宋_GB2312" w:cs="Times New Roman"/>
          <w:szCs w:val="32"/>
        </w:rPr>
        <w:t>大运河国家文化公园</w:t>
      </w:r>
      <w:r>
        <w:rPr>
          <w:rFonts w:hint="eastAsia" w:eastAsia="仿宋_GB2312" w:cs="Times New Roman"/>
          <w:szCs w:val="32"/>
        </w:rPr>
        <w:t>。</w:t>
      </w:r>
    </w:p>
    <w:p>
      <w:pPr>
        <w:pStyle w:val="10"/>
        <w:ind w:firstLine="643"/>
        <w:rPr>
          <w:rFonts w:eastAsia="仿宋_GB2312" w:cs="Times New Roman"/>
          <w:szCs w:val="32"/>
        </w:rPr>
      </w:pPr>
      <w:r>
        <w:rPr>
          <w:rFonts w:hint="eastAsia" w:eastAsia="仿宋_GB2312" w:cs="Times New Roman"/>
          <w:b/>
          <w:szCs w:val="32"/>
        </w:rPr>
        <w:t>质量核心，综合治理。</w:t>
      </w:r>
      <w:r>
        <w:rPr>
          <w:rFonts w:hint="eastAsia" w:eastAsia="仿宋_GB2312" w:cs="Times New Roman"/>
          <w:szCs w:val="32"/>
        </w:rPr>
        <w:t>以改善生态环境质量为目标，以解决突出环境问题为重点，运用科技手段和大数据资源，聚焦打赢蓝天、碧水、净土保卫战。严守环境质量“只能更好、不能变坏”的底线，协同推进区域经济高质量发展和生态环境高水平保护，协同推进应对气候变化与大气污染治理协同控制，确保经济社会稳定和环境质量改善“双赢”。不断强化法律、经济、科技和行政四种手段，构建与经济社会发展和生态环境保护需求相适应的环境治理体系，全面推进环境治理能力现代化。</w:t>
      </w:r>
    </w:p>
    <w:p>
      <w:pPr>
        <w:pStyle w:val="10"/>
        <w:ind w:firstLine="643"/>
        <w:rPr>
          <w:rFonts w:eastAsia="仿宋_GB2312" w:cs="Times New Roman"/>
          <w:szCs w:val="32"/>
        </w:rPr>
      </w:pPr>
      <w:r>
        <w:rPr>
          <w:rFonts w:hint="eastAsia" w:eastAsia="仿宋_GB2312" w:cs="Times New Roman"/>
          <w:b/>
          <w:szCs w:val="32"/>
        </w:rPr>
        <w:t>精细施策，社会共治。</w:t>
      </w:r>
      <w:r>
        <w:rPr>
          <w:rFonts w:hint="eastAsia" w:eastAsia="仿宋_GB2312" w:cs="Times New Roman"/>
          <w:szCs w:val="32"/>
        </w:rPr>
        <w:t>强化环境硬约束，加强环境风险防控和治理能力，强化生态空间管控。坚持系统观念、坚持深化改革开放、坚持以人民为中心。进一步加强党对生态文明建设和生态环境保护的全面领导，进一步加强政府部门总体协调、分工协作、形成合力的工作机制，进一步落实企业环境治理主体责任，进一步推动生态环境保护全民参与，进一步强化政府、企业、公众共治的环境治理体系。</w:t>
      </w:r>
    </w:p>
    <w:p>
      <w:pPr>
        <w:pStyle w:val="3"/>
        <w:ind w:firstLine="640"/>
        <w:rPr>
          <w:lang w:val="zh-CN"/>
        </w:rPr>
      </w:pPr>
      <w:bookmarkStart w:id="16" w:name="_Toc66713930"/>
      <w:r>
        <w:rPr>
          <w:rFonts w:hint="eastAsia"/>
          <w:lang w:val="zh-CN"/>
        </w:rPr>
        <w:t>三</w:t>
      </w:r>
      <w:r>
        <w:rPr>
          <w:lang w:val="zh-CN"/>
        </w:rPr>
        <w:t>、</w:t>
      </w:r>
      <w:r>
        <w:rPr>
          <w:rFonts w:hint="eastAsia"/>
          <w:lang w:val="zh-CN"/>
        </w:rPr>
        <w:t>工作目标和主要指标</w:t>
      </w:r>
      <w:bookmarkEnd w:id="16"/>
    </w:p>
    <w:p>
      <w:pPr>
        <w:pStyle w:val="4"/>
        <w:spacing w:before="120"/>
        <w:ind w:firstLine="640"/>
        <w:rPr>
          <w:lang w:val="zh-CN"/>
        </w:rPr>
      </w:pPr>
      <w:bookmarkStart w:id="17" w:name="_Toc66713931"/>
      <w:r>
        <w:rPr>
          <w:rFonts w:hint="eastAsia"/>
          <w:lang w:val="zh-CN"/>
        </w:rPr>
        <w:t>（一）总体目标</w:t>
      </w:r>
      <w:bookmarkEnd w:id="17"/>
    </w:p>
    <w:p>
      <w:pPr>
        <w:pStyle w:val="10"/>
        <w:ind w:firstLine="640"/>
        <w:rPr>
          <w:rFonts w:eastAsia="仿宋_GB2312" w:cs="Times New Roman"/>
          <w:szCs w:val="32"/>
        </w:rPr>
      </w:pPr>
      <w:r>
        <w:rPr>
          <w:rFonts w:hint="eastAsia" w:eastAsia="仿宋_GB2312" w:cs="Times New Roman"/>
          <w:szCs w:val="32"/>
        </w:rPr>
        <w:t>到2025年，全区生态环境质量明显改善，主要污染物排放总量持续减少，生态服务功能稳步提升，环境风险得到有效管控，低碳发展和应对气候变化能力持续提高，生态环境治理体系与治理能力水平明显提升，生态空间管控、环境监管和行政执法体制机制等取得重要突破，生产生活方式绿色转型成效显著，人居环境更加优美，大运河资源得到有效保护利用。</w:t>
      </w:r>
    </w:p>
    <w:p>
      <w:pPr>
        <w:pStyle w:val="4"/>
        <w:spacing w:before="120"/>
        <w:ind w:firstLine="640"/>
        <w:rPr>
          <w:lang w:val="zh-CN"/>
        </w:rPr>
      </w:pPr>
      <w:bookmarkStart w:id="18" w:name="_Toc66713932"/>
      <w:r>
        <w:rPr>
          <w:rFonts w:hint="eastAsia"/>
          <w:lang w:val="zh-CN"/>
        </w:rPr>
        <w:t>（二）主要指标</w:t>
      </w:r>
      <w:bookmarkEnd w:id="18"/>
    </w:p>
    <w:p>
      <w:pPr>
        <w:pStyle w:val="10"/>
        <w:ind w:firstLine="640"/>
        <w:rPr>
          <w:rFonts w:eastAsia="仿宋_GB2312" w:cs="Times New Roman"/>
          <w:szCs w:val="32"/>
        </w:rPr>
      </w:pPr>
      <w:r>
        <w:rPr>
          <w:rFonts w:hint="eastAsia" w:eastAsia="仿宋_GB2312" w:cs="Times New Roman"/>
          <w:szCs w:val="32"/>
        </w:rPr>
        <w:t>“十四五”时期红桥区生态环境保护工作规划主要指标如下表。</w:t>
      </w:r>
    </w:p>
    <w:p>
      <w:pPr>
        <w:pStyle w:val="57"/>
        <w:spacing w:before="120" w:after="120"/>
      </w:pPr>
      <w:r>
        <w:rPr>
          <w:rFonts w:hint="eastAsia"/>
        </w:rPr>
        <w:t>表2-1 红桥区生态与环境保护第十四个五年规划主要指标</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6"/>
        <w:gridCol w:w="893"/>
        <w:gridCol w:w="3218"/>
        <w:gridCol w:w="1251"/>
        <w:gridCol w:w="1092"/>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34" w:type="pct"/>
            <w:gridSpan w:val="2"/>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rPr>
                <w:rFonts w:eastAsia="仿宋_GB2312" w:cs="Times New Roman"/>
                <w:b/>
                <w:kern w:val="24"/>
                <w:sz w:val="21"/>
                <w:szCs w:val="24"/>
              </w:rPr>
            </w:pPr>
            <w:r>
              <w:rPr>
                <w:rFonts w:eastAsia="仿宋_GB2312" w:cs="Times New Roman"/>
                <w:b/>
                <w:kern w:val="24"/>
                <w:sz w:val="21"/>
                <w:szCs w:val="24"/>
              </w:rPr>
              <w:t>指标类别</w:t>
            </w:r>
          </w:p>
        </w:tc>
        <w:tc>
          <w:tcPr>
            <w:tcW w:w="1927" w:type="pct"/>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rPr>
                <w:rFonts w:eastAsia="仿宋_GB2312" w:cs="Times New Roman"/>
                <w:b/>
                <w:kern w:val="24"/>
                <w:sz w:val="21"/>
                <w:szCs w:val="24"/>
              </w:rPr>
            </w:pPr>
            <w:r>
              <w:rPr>
                <w:rFonts w:eastAsia="仿宋_GB2312" w:cs="Times New Roman"/>
                <w:b/>
                <w:kern w:val="24"/>
                <w:sz w:val="21"/>
                <w:szCs w:val="24"/>
              </w:rPr>
              <w:t>核心指标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b/>
                <w:kern w:val="24"/>
                <w:sz w:val="21"/>
                <w:szCs w:val="24"/>
              </w:rPr>
            </w:pPr>
            <w:r>
              <w:rPr>
                <w:rFonts w:hint="eastAsia" w:eastAsia="仿宋_GB2312" w:cs="Times New Roman"/>
                <w:b/>
                <w:kern w:val="24"/>
                <w:sz w:val="21"/>
                <w:szCs w:val="24"/>
              </w:rPr>
              <w:t>2020年现状</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b/>
                <w:kern w:val="24"/>
                <w:sz w:val="21"/>
                <w:szCs w:val="24"/>
              </w:rPr>
            </w:pPr>
            <w:r>
              <w:rPr>
                <w:rFonts w:eastAsia="仿宋_GB2312" w:cs="Times New Roman"/>
                <w:b/>
                <w:kern w:val="24"/>
                <w:sz w:val="21"/>
                <w:szCs w:val="24"/>
              </w:rPr>
              <w:t>2025年目标</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uto"/>
              <w:ind w:firstLine="0" w:firstLineChars="0"/>
              <w:jc w:val="center"/>
              <w:rPr>
                <w:rFonts w:eastAsia="仿宋_GB2312" w:cs="Times New Roman"/>
                <w:b/>
                <w:kern w:val="24"/>
                <w:sz w:val="21"/>
                <w:szCs w:val="24"/>
              </w:rPr>
            </w:pPr>
            <w:r>
              <w:rPr>
                <w:rFonts w:hint="eastAsia" w:eastAsia="仿宋_GB2312" w:cs="Times New Roman"/>
                <w:b/>
                <w:kern w:val="24"/>
                <w:sz w:val="21"/>
                <w:szCs w:val="24"/>
              </w:rPr>
              <w:t>指标属性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9" w:type="pct"/>
            <w:vMerge w:val="restart"/>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textAlignment w:val="baseline"/>
              <w:rPr>
                <w:rFonts w:eastAsia="仿宋_GB2312" w:cs="Times New Roman"/>
                <w:kern w:val="0"/>
                <w:sz w:val="21"/>
                <w:szCs w:val="24"/>
              </w:rPr>
            </w:pPr>
            <w:r>
              <w:rPr>
                <w:rFonts w:eastAsia="仿宋_GB2312" w:cs="Times New Roman"/>
                <w:bCs/>
                <w:kern w:val="24"/>
                <w:sz w:val="21"/>
                <w:szCs w:val="24"/>
              </w:rPr>
              <w:t>生态环境</w:t>
            </w:r>
            <w:r>
              <w:rPr>
                <w:rFonts w:hint="eastAsia" w:eastAsia="仿宋_GB2312" w:cs="Times New Roman"/>
                <w:bCs/>
                <w:kern w:val="24"/>
                <w:sz w:val="21"/>
                <w:szCs w:val="24"/>
              </w:rPr>
              <w:t>生态</w:t>
            </w:r>
            <w:r>
              <w:rPr>
                <w:rFonts w:eastAsia="仿宋_GB2312" w:cs="Times New Roman"/>
                <w:bCs/>
                <w:kern w:val="24"/>
                <w:sz w:val="21"/>
                <w:szCs w:val="24"/>
              </w:rPr>
              <w:t>质量</w:t>
            </w:r>
          </w:p>
        </w:tc>
        <w:tc>
          <w:tcPr>
            <w:tcW w:w="535" w:type="pct"/>
            <w:vMerge w:val="restart"/>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textAlignment w:val="baseline"/>
              <w:rPr>
                <w:rFonts w:eastAsia="仿宋_GB2312" w:cs="Times New Roman"/>
                <w:kern w:val="0"/>
                <w:sz w:val="21"/>
                <w:szCs w:val="24"/>
              </w:rPr>
            </w:pPr>
            <w:r>
              <w:rPr>
                <w:rFonts w:eastAsia="仿宋_GB2312" w:cs="Times New Roman"/>
                <w:bCs/>
                <w:kern w:val="24"/>
                <w:sz w:val="21"/>
                <w:szCs w:val="24"/>
              </w:rPr>
              <w:t>空气质量</w:t>
            </w: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jc w:val="left"/>
              <w:textAlignment w:val="baseline"/>
              <w:rPr>
                <w:rFonts w:eastAsia="仿宋_GB2312" w:cs="Times New Roman"/>
                <w:kern w:val="0"/>
                <w:sz w:val="21"/>
                <w:szCs w:val="24"/>
              </w:rPr>
            </w:pPr>
            <w:r>
              <w:rPr>
                <w:rFonts w:hint="eastAsia" w:eastAsia="仿宋_GB2312" w:cs="Times New Roman"/>
                <w:bCs/>
                <w:kern w:val="24"/>
                <w:sz w:val="21"/>
                <w:szCs w:val="24"/>
              </w:rPr>
              <w:t>空气优良天数比例</w:t>
            </w:r>
            <w:r>
              <w:rPr>
                <w:rFonts w:eastAsia="仿宋_GB2312" w:cs="Times New Roman"/>
                <w:bCs/>
                <w:kern w:val="24"/>
                <w:sz w:val="21"/>
                <w:szCs w:val="24"/>
              </w:rPr>
              <w:t>（%）</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baseline"/>
              <w:rPr>
                <w:rFonts w:eastAsia="仿宋_GB2312" w:cs="Times New Roman"/>
                <w:bCs/>
                <w:kern w:val="24"/>
                <w:sz w:val="21"/>
                <w:szCs w:val="24"/>
              </w:rPr>
            </w:pPr>
            <w:r>
              <w:rPr>
                <w:rFonts w:hint="eastAsia" w:eastAsia="仿宋_GB2312" w:cs="Times New Roman"/>
                <w:bCs/>
                <w:kern w:val="24"/>
                <w:sz w:val="21"/>
                <w:szCs w:val="24"/>
              </w:rPr>
              <w:t>63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baseline"/>
              <w:rPr>
                <w:rFonts w:eastAsia="仿宋_GB2312" w:cs="Times New Roman"/>
                <w:bCs/>
                <w:kern w:val="24"/>
                <w:sz w:val="21"/>
                <w:szCs w:val="24"/>
              </w:rPr>
            </w:pPr>
            <w:r>
              <w:rPr>
                <w:rFonts w:hint="eastAsia" w:eastAsia="仿宋_GB2312" w:cs="Times New Roman"/>
                <w:bCs/>
                <w:kern w:val="24"/>
                <w:sz w:val="21"/>
                <w:szCs w:val="24"/>
              </w:rPr>
              <w:t>65</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textAlignment w:val="baseline"/>
              <w:rPr>
                <w:rFonts w:eastAsia="仿宋_GB2312" w:cs="Times New Roman"/>
                <w:bCs/>
                <w:kern w:val="24"/>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9"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535"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jc w:val="left"/>
              <w:textAlignment w:val="baseline"/>
              <w:rPr>
                <w:rFonts w:eastAsia="仿宋_GB2312" w:cs="Times New Roman"/>
                <w:kern w:val="0"/>
                <w:sz w:val="21"/>
                <w:szCs w:val="24"/>
              </w:rPr>
            </w:pPr>
            <w:r>
              <w:rPr>
                <w:rFonts w:eastAsia="仿宋_GB2312" w:cs="Times New Roman"/>
                <w:bCs/>
                <w:kern w:val="24"/>
                <w:sz w:val="21"/>
                <w:szCs w:val="24"/>
              </w:rPr>
              <w:t>PM</w:t>
            </w:r>
            <w:r>
              <w:rPr>
                <w:rFonts w:eastAsia="仿宋_GB2312" w:cs="Times New Roman"/>
                <w:bCs/>
                <w:kern w:val="24"/>
                <w:position w:val="-5"/>
                <w:sz w:val="21"/>
                <w:szCs w:val="24"/>
                <w:vertAlign w:val="subscript"/>
              </w:rPr>
              <w:t xml:space="preserve">2.5 </w:t>
            </w:r>
            <w:r>
              <w:rPr>
                <w:rFonts w:eastAsia="仿宋_GB2312" w:cs="Times New Roman"/>
                <w:bCs/>
                <w:kern w:val="24"/>
                <w:sz w:val="21"/>
                <w:szCs w:val="24"/>
              </w:rPr>
              <w:t>浓度（μg/m</w:t>
            </w:r>
            <w:r>
              <w:rPr>
                <w:rFonts w:eastAsia="仿宋_GB2312" w:cs="Times New Roman"/>
                <w:bCs/>
                <w:kern w:val="24"/>
                <w:sz w:val="21"/>
                <w:szCs w:val="24"/>
                <w:vertAlign w:val="superscript"/>
              </w:rPr>
              <w:t>3</w:t>
            </w:r>
            <w:r>
              <w:rPr>
                <w:rFonts w:eastAsia="仿宋_GB2312" w:cs="Times New Roman"/>
                <w:bCs/>
                <w:kern w:val="24"/>
                <w:sz w:val="21"/>
                <w:szCs w:val="24"/>
              </w:rPr>
              <w:t>）</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0"/>
                <w:sz w:val="21"/>
                <w:szCs w:val="24"/>
              </w:rPr>
              <w:t>49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24"/>
                <w:sz w:val="21"/>
                <w:szCs w:val="24"/>
              </w:rPr>
              <w:t>完成市下达任务</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rPr>
                <w:rFonts w:eastAsia="仿宋_GB2312" w:cs="Times New Roman"/>
                <w:kern w:val="0"/>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9"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535" w:type="pct"/>
            <w:vMerge w:val="continue"/>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textAlignment w:val="baseline"/>
              <w:rPr>
                <w:rFonts w:eastAsia="仿宋_GB2312" w:cs="Times New Roman"/>
                <w:bCs/>
                <w:kern w:val="24"/>
                <w:sz w:val="21"/>
                <w:szCs w:val="24"/>
              </w:rPr>
            </w:pP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jc w:val="left"/>
              <w:textAlignment w:val="baseline"/>
              <w:rPr>
                <w:rFonts w:eastAsia="仿宋_GB2312" w:cs="Times New Roman"/>
                <w:bCs/>
                <w:kern w:val="24"/>
                <w:sz w:val="21"/>
                <w:szCs w:val="24"/>
              </w:rPr>
            </w:pPr>
            <w:r>
              <w:rPr>
                <w:rFonts w:eastAsia="仿宋_GB2312" w:cs="Times New Roman"/>
                <w:bCs/>
                <w:kern w:val="24"/>
                <w:sz w:val="21"/>
                <w:szCs w:val="24"/>
              </w:rPr>
              <w:t>PM</w:t>
            </w:r>
            <w:r>
              <w:rPr>
                <w:rFonts w:eastAsia="仿宋_GB2312" w:cs="Times New Roman"/>
                <w:bCs/>
                <w:kern w:val="24"/>
                <w:sz w:val="21"/>
                <w:szCs w:val="24"/>
                <w:vertAlign w:val="subscript"/>
              </w:rPr>
              <w:t>10</w:t>
            </w:r>
            <w:r>
              <w:rPr>
                <w:rFonts w:eastAsia="仿宋_GB2312" w:cs="Times New Roman"/>
                <w:bCs/>
                <w:kern w:val="24"/>
                <w:sz w:val="21"/>
                <w:szCs w:val="24"/>
              </w:rPr>
              <w:t>浓度（μg/m</w:t>
            </w:r>
            <w:r>
              <w:rPr>
                <w:rFonts w:eastAsia="仿宋_GB2312" w:cs="Times New Roman"/>
                <w:bCs/>
                <w:kern w:val="24"/>
                <w:sz w:val="21"/>
                <w:szCs w:val="24"/>
                <w:vertAlign w:val="superscript"/>
              </w:rPr>
              <w:t>3</w:t>
            </w:r>
            <w:r>
              <w:rPr>
                <w:rFonts w:eastAsia="仿宋_GB2312" w:cs="Times New Roman"/>
                <w:bCs/>
                <w:kern w:val="24"/>
                <w:sz w:val="21"/>
                <w:szCs w:val="24"/>
              </w:rPr>
              <w:t>）</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adjustRightInd w:val="0"/>
              <w:snapToGrid w:val="0"/>
              <w:spacing w:before="0" w:beforeAutospacing="0" w:after="0" w:afterAutospacing="0" w:line="240" w:lineRule="auto"/>
              <w:ind w:firstLine="480" w:firstLineChars="0"/>
              <w:textAlignment w:val="baseline"/>
              <w:rPr>
                <w:rFonts w:ascii="Times New Roman" w:hAnsi="Times New Roman" w:eastAsia="仿宋_GB2312" w:cs="Times New Roman"/>
                <w:bCs/>
                <w:kern w:val="24"/>
                <w:sz w:val="21"/>
              </w:rPr>
            </w:pPr>
            <w:r>
              <w:rPr>
                <w:rFonts w:hint="eastAsia" w:ascii="Times New Roman" w:hAnsi="Times New Roman" w:eastAsia="仿宋_GB2312" w:cs="Times New Roman"/>
                <w:bCs/>
                <w:kern w:val="24"/>
                <w:sz w:val="21"/>
              </w:rPr>
              <w:t>71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baseline"/>
              <w:rPr>
                <w:rFonts w:eastAsia="仿宋_GB2312" w:cs="Times New Roman"/>
                <w:bCs/>
                <w:kern w:val="24"/>
                <w:sz w:val="21"/>
                <w:szCs w:val="24"/>
              </w:rPr>
            </w:pPr>
            <w:r>
              <w:rPr>
                <w:rFonts w:hint="eastAsia" w:eastAsia="仿宋_GB2312" w:cs="Times New Roman"/>
                <w:kern w:val="24"/>
                <w:sz w:val="21"/>
                <w:szCs w:val="24"/>
              </w:rPr>
              <w:t>完成市下达任务</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textAlignment w:val="baseline"/>
              <w:rPr>
                <w:rFonts w:eastAsia="仿宋_GB2312" w:cs="Times New Roman"/>
                <w:bCs/>
                <w:kern w:val="24"/>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399"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535" w:type="pct"/>
            <w:vMerge w:val="restart"/>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textAlignment w:val="baseline"/>
              <w:rPr>
                <w:rFonts w:eastAsia="仿宋_GB2312" w:cs="Times New Roman"/>
                <w:kern w:val="0"/>
                <w:sz w:val="21"/>
                <w:szCs w:val="24"/>
              </w:rPr>
            </w:pPr>
            <w:r>
              <w:rPr>
                <w:rFonts w:eastAsia="仿宋_GB2312" w:cs="Times New Roman"/>
                <w:bCs/>
                <w:kern w:val="24"/>
                <w:sz w:val="21"/>
                <w:szCs w:val="24"/>
              </w:rPr>
              <w:t>水环境质量</w:t>
            </w: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textAlignment w:val="baseline"/>
              <w:rPr>
                <w:rFonts w:eastAsia="仿宋_GB2312" w:cs="Times New Roman"/>
                <w:kern w:val="0"/>
                <w:sz w:val="21"/>
                <w:szCs w:val="24"/>
              </w:rPr>
            </w:pPr>
            <w:r>
              <w:rPr>
                <w:rFonts w:hint="eastAsia" w:eastAsia="仿宋_GB2312" w:cs="Times New Roman"/>
                <w:bCs/>
                <w:kern w:val="24"/>
                <w:sz w:val="21"/>
                <w:szCs w:val="24"/>
              </w:rPr>
              <w:t>地表水达到</w:t>
            </w:r>
            <w:r>
              <w:rPr>
                <w:rFonts w:eastAsia="仿宋_GB2312" w:cs="Times New Roman"/>
                <w:bCs/>
                <w:kern w:val="24"/>
                <w:sz w:val="21"/>
                <w:szCs w:val="24"/>
              </w:rPr>
              <w:t>或</w:t>
            </w:r>
            <w:r>
              <w:rPr>
                <w:rFonts w:hint="eastAsia" w:eastAsia="仿宋_GB2312" w:cs="Times New Roman"/>
                <w:bCs/>
                <w:kern w:val="24"/>
                <w:sz w:val="21"/>
                <w:szCs w:val="24"/>
              </w:rPr>
              <w:t>好于III类</w:t>
            </w:r>
            <w:r>
              <w:rPr>
                <w:rFonts w:eastAsia="仿宋_GB2312" w:cs="Times New Roman"/>
                <w:bCs/>
                <w:kern w:val="24"/>
                <w:sz w:val="21"/>
                <w:szCs w:val="24"/>
              </w:rPr>
              <w:t>水体比例（%）</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4"/>
              <w:adjustRightInd w:val="0"/>
              <w:snapToGrid w:val="0"/>
              <w:spacing w:before="0" w:beforeAutospacing="0" w:after="0" w:afterAutospacing="0" w:line="240" w:lineRule="auto"/>
              <w:ind w:firstLine="480" w:firstLineChars="0"/>
              <w:jc w:val="both"/>
              <w:textAlignment w:val="baseline"/>
              <w:rPr>
                <w:rFonts w:ascii="Times New Roman" w:hAnsi="Times New Roman" w:eastAsia="仿宋_GB2312" w:cs="Times New Roman"/>
                <w:bCs/>
                <w:kern w:val="24"/>
                <w:sz w:val="21"/>
              </w:rPr>
            </w:pPr>
            <w:r>
              <w:rPr>
                <w:rFonts w:hint="eastAsia" w:ascii="Times New Roman" w:hAnsi="Times New Roman" w:eastAsia="仿宋_GB2312" w:cs="Times New Roman"/>
                <w:bCs/>
                <w:kern w:val="24"/>
                <w:sz w:val="21"/>
              </w:rPr>
              <w:t>71.4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baseline"/>
              <w:rPr>
                <w:rFonts w:eastAsia="仿宋_GB2312" w:cs="Times New Roman"/>
                <w:bCs/>
                <w:kern w:val="24"/>
                <w:sz w:val="21"/>
                <w:szCs w:val="24"/>
              </w:rPr>
            </w:pPr>
            <w:r>
              <w:rPr>
                <w:rFonts w:hint="eastAsia" w:eastAsia="仿宋_GB2312" w:cs="Times New Roman"/>
                <w:kern w:val="24"/>
                <w:sz w:val="21"/>
                <w:szCs w:val="24"/>
              </w:rPr>
              <w:t>完成市下达任务</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textAlignment w:val="baseline"/>
              <w:rPr>
                <w:rFonts w:eastAsia="仿宋_GB2312" w:cs="Times New Roman"/>
                <w:bCs/>
                <w:kern w:val="24"/>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9"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535"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textAlignment w:val="baseline"/>
              <w:rPr>
                <w:rFonts w:eastAsia="仿宋_GB2312" w:cs="Times New Roman"/>
                <w:kern w:val="0"/>
                <w:sz w:val="21"/>
                <w:szCs w:val="24"/>
              </w:rPr>
            </w:pPr>
            <w:r>
              <w:rPr>
                <w:rFonts w:eastAsia="仿宋_GB2312" w:cs="Times New Roman"/>
                <w:bCs/>
                <w:kern w:val="24"/>
                <w:sz w:val="21"/>
                <w:szCs w:val="24"/>
              </w:rPr>
              <w:t>地表水劣Ⅴ类水体比例（%）</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0"/>
                <w:sz w:val="21"/>
                <w:szCs w:val="24"/>
              </w:rPr>
              <w:t>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0"/>
                <w:sz w:val="21"/>
                <w:szCs w:val="24"/>
              </w:rPr>
              <w:t>0</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rPr>
                <w:rFonts w:eastAsia="仿宋_GB2312" w:cs="Times New Roman"/>
                <w:kern w:val="0"/>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9"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535"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textAlignment w:val="baseline"/>
              <w:rPr>
                <w:rFonts w:eastAsia="仿宋_GB2312" w:cs="Times New Roman"/>
                <w:kern w:val="0"/>
                <w:sz w:val="21"/>
                <w:szCs w:val="24"/>
              </w:rPr>
            </w:pPr>
            <w:r>
              <w:rPr>
                <w:rFonts w:eastAsia="仿宋_GB2312" w:cs="Times New Roman"/>
                <w:bCs/>
                <w:kern w:val="24"/>
                <w:sz w:val="21"/>
                <w:szCs w:val="24"/>
              </w:rPr>
              <w:t>水功能区水质达标率（%</w:t>
            </w:r>
            <w:r>
              <w:rPr>
                <w:rFonts w:hint="eastAsia" w:eastAsia="仿宋_GB2312" w:cs="Times New Roman"/>
                <w:bCs/>
                <w:kern w:val="24"/>
                <w:sz w:val="21"/>
                <w:szCs w:val="24"/>
              </w:rPr>
              <w:t>）</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0"/>
                <w:sz w:val="21"/>
                <w:szCs w:val="24"/>
              </w:rPr>
              <w:t>100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24"/>
                <w:sz w:val="21"/>
                <w:szCs w:val="24"/>
              </w:rPr>
              <w:t>完成市下达任务</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rPr>
                <w:rFonts w:eastAsia="仿宋_GB2312" w:cs="Times New Roman"/>
                <w:kern w:val="0"/>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99" w:type="pct"/>
            <w:vMerge w:val="continue"/>
            <w:shd w:val="clear" w:color="auto" w:fill="auto"/>
            <w:vAlign w:val="center"/>
          </w:tcPr>
          <w:p>
            <w:pPr>
              <w:widowControl/>
              <w:adjustRightInd w:val="0"/>
              <w:snapToGrid w:val="0"/>
              <w:spacing w:line="240" w:lineRule="auto"/>
              <w:ind w:firstLine="0" w:firstLineChars="0"/>
              <w:jc w:val="left"/>
              <w:rPr>
                <w:rFonts w:eastAsia="仿宋_GB2312" w:cs="Times New Roman"/>
                <w:kern w:val="0"/>
                <w:sz w:val="21"/>
                <w:szCs w:val="24"/>
              </w:rPr>
            </w:pPr>
          </w:p>
        </w:tc>
        <w:tc>
          <w:tcPr>
            <w:tcW w:w="535" w:type="pct"/>
            <w:shd w:val="clear" w:color="auto" w:fill="auto"/>
            <w:tcMar>
              <w:top w:w="20" w:type="dxa"/>
              <w:left w:w="33" w:type="dxa"/>
              <w:bottom w:w="72" w:type="dxa"/>
              <w:right w:w="33" w:type="dxa"/>
            </w:tcMar>
            <w:vAlign w:val="center"/>
          </w:tcPr>
          <w:p>
            <w:pPr>
              <w:widowControl/>
              <w:adjustRightInd w:val="0"/>
              <w:snapToGrid w:val="0"/>
              <w:spacing w:line="240" w:lineRule="auto"/>
              <w:ind w:firstLine="0" w:firstLineChars="0"/>
              <w:jc w:val="center"/>
              <w:textAlignment w:val="baseline"/>
              <w:rPr>
                <w:rFonts w:eastAsia="仿宋_GB2312" w:cs="Times New Roman"/>
                <w:kern w:val="0"/>
                <w:sz w:val="21"/>
                <w:szCs w:val="24"/>
              </w:rPr>
            </w:pPr>
            <w:r>
              <w:rPr>
                <w:rFonts w:eastAsia="仿宋_GB2312" w:cs="Times New Roman"/>
                <w:bCs/>
                <w:kern w:val="24"/>
                <w:sz w:val="21"/>
                <w:szCs w:val="24"/>
              </w:rPr>
              <w:t>土壤、地下水环境质量</w:t>
            </w: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textAlignment w:val="baseline"/>
              <w:rPr>
                <w:rFonts w:eastAsia="仿宋_GB2312" w:cs="Times New Roman"/>
                <w:kern w:val="0"/>
                <w:sz w:val="21"/>
                <w:szCs w:val="24"/>
              </w:rPr>
            </w:pPr>
            <w:r>
              <w:rPr>
                <w:rFonts w:eastAsia="仿宋_GB2312" w:cs="Times New Roman"/>
                <w:bCs/>
                <w:kern w:val="24"/>
                <w:sz w:val="21"/>
                <w:szCs w:val="24"/>
              </w:rPr>
              <w:t>污染地块安全利用率（%）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baseline"/>
              <w:rPr>
                <w:rFonts w:eastAsia="仿宋_GB2312" w:cs="Times New Roman"/>
                <w:kern w:val="24"/>
                <w:sz w:val="21"/>
                <w:szCs w:val="24"/>
              </w:rPr>
            </w:pPr>
            <w:r>
              <w:rPr>
                <w:rFonts w:hint="eastAsia" w:eastAsia="仿宋_GB2312" w:cs="Times New Roman"/>
                <w:kern w:val="24"/>
                <w:sz w:val="21"/>
                <w:szCs w:val="24"/>
              </w:rPr>
              <w:t>100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baseline"/>
              <w:rPr>
                <w:rFonts w:eastAsia="仿宋_GB2312" w:cs="Times New Roman"/>
                <w:kern w:val="24"/>
                <w:sz w:val="21"/>
                <w:szCs w:val="24"/>
              </w:rPr>
            </w:pPr>
            <w:r>
              <w:rPr>
                <w:rFonts w:hint="eastAsia" w:eastAsia="仿宋_GB2312" w:cs="Times New Roman"/>
                <w:kern w:val="0"/>
                <w:sz w:val="21"/>
                <w:szCs w:val="24"/>
              </w:rPr>
              <w:t>1</w:t>
            </w:r>
            <w:r>
              <w:rPr>
                <w:rFonts w:eastAsia="仿宋_GB2312" w:cs="Times New Roman"/>
                <w:kern w:val="0"/>
                <w:sz w:val="21"/>
                <w:szCs w:val="24"/>
              </w:rPr>
              <w:t>00</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textAlignment w:val="baseline"/>
              <w:rPr>
                <w:rFonts w:eastAsia="仿宋_GB2312" w:cs="Times New Roman"/>
                <w:kern w:val="24"/>
                <w:sz w:val="21"/>
                <w:szCs w:val="24"/>
              </w:rPr>
            </w:pPr>
            <w:r>
              <w:rPr>
                <w:rFonts w:hint="eastAsia" w:eastAsia="仿宋_GB2312" w:cs="Times New Roman"/>
                <w:bCs/>
                <w:kern w:val="24"/>
                <w:sz w:val="21"/>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99" w:type="pct"/>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0"/>
                <w:sz w:val="21"/>
                <w:szCs w:val="24"/>
              </w:rPr>
              <w:t>绿色</w:t>
            </w:r>
          </w:p>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0"/>
                <w:sz w:val="21"/>
                <w:szCs w:val="24"/>
              </w:rPr>
              <w:t>发展</w:t>
            </w:r>
          </w:p>
        </w:tc>
        <w:tc>
          <w:tcPr>
            <w:tcW w:w="535" w:type="pct"/>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eastAsia="仿宋_GB2312" w:cs="Times New Roman"/>
                <w:bCs/>
                <w:kern w:val="24"/>
                <w:sz w:val="21"/>
                <w:szCs w:val="24"/>
              </w:rPr>
              <w:t>碳减排</w:t>
            </w:r>
          </w:p>
        </w:tc>
        <w:tc>
          <w:tcPr>
            <w:tcW w:w="1927" w:type="pct"/>
            <w:shd w:val="clear" w:color="auto" w:fill="auto"/>
            <w:tcMar>
              <w:top w:w="20" w:type="dxa"/>
              <w:left w:w="278" w:type="dxa"/>
              <w:bottom w:w="72" w:type="dxa"/>
              <w:right w:w="33" w:type="dxa"/>
            </w:tcMar>
            <w:vAlign w:val="center"/>
          </w:tcPr>
          <w:p>
            <w:pPr>
              <w:widowControl/>
              <w:adjustRightInd w:val="0"/>
              <w:snapToGrid w:val="0"/>
              <w:spacing w:line="240" w:lineRule="auto"/>
              <w:ind w:firstLine="0" w:firstLineChars="0"/>
              <w:rPr>
                <w:rFonts w:eastAsia="仿宋_GB2312" w:cs="Times New Roman"/>
                <w:bCs/>
                <w:kern w:val="24"/>
                <w:sz w:val="21"/>
                <w:szCs w:val="24"/>
              </w:rPr>
            </w:pPr>
            <w:r>
              <w:rPr>
                <w:rFonts w:eastAsia="仿宋_GB2312" w:cs="Times New Roman"/>
                <w:bCs/>
                <w:kern w:val="24"/>
                <w:sz w:val="21"/>
                <w:szCs w:val="24"/>
              </w:rPr>
              <w:t>单位</w:t>
            </w:r>
            <w:r>
              <w:rPr>
                <w:rFonts w:hint="eastAsia" w:eastAsia="仿宋_GB2312" w:cs="Times New Roman"/>
                <w:bCs/>
                <w:kern w:val="24"/>
                <w:sz w:val="21"/>
                <w:szCs w:val="24"/>
              </w:rPr>
              <w:t>生产</w:t>
            </w:r>
            <w:r>
              <w:rPr>
                <w:rFonts w:eastAsia="仿宋_GB2312" w:cs="Times New Roman"/>
                <w:bCs/>
                <w:kern w:val="24"/>
                <w:sz w:val="21"/>
                <w:szCs w:val="24"/>
              </w:rPr>
              <w:t>总值二氧化碳排放降幅（%）</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24"/>
                <w:sz w:val="21"/>
                <w:szCs w:val="24"/>
              </w:rPr>
              <w:t>完成市下达任务</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_GB2312" w:cs="Times New Roman"/>
                <w:kern w:val="0"/>
                <w:sz w:val="21"/>
                <w:szCs w:val="24"/>
              </w:rPr>
            </w:pPr>
            <w:r>
              <w:rPr>
                <w:rFonts w:hint="eastAsia" w:eastAsia="仿宋_GB2312" w:cs="Times New Roman"/>
                <w:kern w:val="24"/>
                <w:sz w:val="21"/>
                <w:szCs w:val="24"/>
              </w:rPr>
              <w:t>完成市下达任务</w:t>
            </w:r>
          </w:p>
        </w:tc>
        <w:tc>
          <w:tcPr>
            <w:tcW w:w="736"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ind w:firstLine="0" w:firstLineChars="0"/>
              <w:jc w:val="center"/>
              <w:rPr>
                <w:rFonts w:eastAsia="仿宋_GB2312" w:cs="Times New Roman"/>
                <w:bCs/>
                <w:kern w:val="24"/>
                <w:sz w:val="21"/>
                <w:szCs w:val="24"/>
              </w:rPr>
            </w:pPr>
            <w:r>
              <w:rPr>
                <w:rFonts w:hint="eastAsia" w:eastAsia="仿宋_GB2312" w:cs="Times New Roman"/>
                <w:bCs/>
                <w:kern w:val="24"/>
                <w:sz w:val="21"/>
                <w:szCs w:val="24"/>
              </w:rPr>
              <w:t>约束性</w:t>
            </w:r>
          </w:p>
        </w:tc>
      </w:tr>
    </w:tbl>
    <w:p>
      <w:pPr>
        <w:widowControl/>
        <w:spacing w:line="240" w:lineRule="auto"/>
        <w:ind w:firstLine="0" w:firstLineChars="0"/>
        <w:jc w:val="left"/>
        <w:rPr>
          <w:rFonts w:eastAsia="黑体" w:cs="Times New Roman"/>
          <w:sz w:val="36"/>
          <w:szCs w:val="36"/>
        </w:rPr>
      </w:pPr>
    </w:p>
    <w:p>
      <w:pPr>
        <w:pStyle w:val="2"/>
        <w:adjustRightInd w:val="0"/>
        <w:snapToGrid w:val="0"/>
        <w:spacing w:before="0" w:after="0" w:line="360" w:lineRule="auto"/>
        <w:ind w:firstLine="723"/>
        <w:jc w:val="center"/>
        <w:rPr>
          <w:rFonts w:eastAsia="黑体" w:cs="Times New Roman"/>
          <w:sz w:val="36"/>
          <w:szCs w:val="36"/>
        </w:rPr>
        <w:sectPr>
          <w:pgSz w:w="11906" w:h="16838"/>
          <w:pgMar w:top="1440" w:right="1797" w:bottom="1440" w:left="1797" w:header="851" w:footer="992" w:gutter="0"/>
          <w:cols w:space="425" w:num="1"/>
          <w:docGrid w:linePitch="435" w:charSpace="0"/>
        </w:sectPr>
      </w:pPr>
    </w:p>
    <w:p>
      <w:pPr>
        <w:pStyle w:val="2"/>
        <w:adjustRightInd w:val="0"/>
        <w:snapToGrid w:val="0"/>
        <w:spacing w:before="0" w:after="0" w:line="360" w:lineRule="auto"/>
        <w:ind w:firstLine="0" w:firstLineChars="0"/>
        <w:jc w:val="center"/>
        <w:rPr>
          <w:rFonts w:eastAsia="黑体" w:cs="Times New Roman"/>
          <w:sz w:val="36"/>
          <w:szCs w:val="36"/>
        </w:rPr>
      </w:pPr>
      <w:bookmarkStart w:id="19" w:name="_Toc66713933"/>
      <w:r>
        <w:rPr>
          <w:rFonts w:eastAsia="黑体" w:cs="Times New Roman"/>
          <w:sz w:val="36"/>
          <w:szCs w:val="36"/>
        </w:rPr>
        <w:t>第</w:t>
      </w:r>
      <w:r>
        <w:rPr>
          <w:rFonts w:hint="eastAsia" w:eastAsia="黑体" w:cs="Times New Roman"/>
          <w:sz w:val="36"/>
          <w:szCs w:val="36"/>
        </w:rPr>
        <w:t>三</w:t>
      </w:r>
      <w:r>
        <w:rPr>
          <w:rFonts w:eastAsia="黑体" w:cs="Times New Roman"/>
          <w:sz w:val="36"/>
          <w:szCs w:val="36"/>
        </w:rPr>
        <w:t>章  重点任务</w:t>
      </w:r>
      <w:bookmarkEnd w:id="0"/>
      <w:bookmarkEnd w:id="1"/>
      <w:bookmarkEnd w:id="2"/>
      <w:bookmarkEnd w:id="3"/>
      <w:bookmarkEnd w:id="4"/>
      <w:bookmarkEnd w:id="19"/>
    </w:p>
    <w:p>
      <w:pPr>
        <w:pStyle w:val="3"/>
        <w:ind w:firstLine="640"/>
        <w:rPr>
          <w:lang w:val="zh-CN"/>
        </w:rPr>
      </w:pPr>
      <w:bookmarkStart w:id="20" w:name="_Toc50994525"/>
      <w:bookmarkStart w:id="21" w:name="_Toc15997"/>
      <w:bookmarkStart w:id="22" w:name="_Toc18879"/>
      <w:bookmarkStart w:id="23" w:name="_Toc50994600"/>
      <w:bookmarkStart w:id="24" w:name="_Toc50995106"/>
      <w:bookmarkStart w:id="25" w:name="_Toc66713934"/>
      <w:r>
        <w:rPr>
          <w:rFonts w:hint="eastAsia"/>
          <w:lang w:val="zh-CN"/>
        </w:rPr>
        <w:t>一、多措并举，改善环境空气质量</w:t>
      </w:r>
      <w:bookmarkEnd w:id="20"/>
      <w:bookmarkEnd w:id="21"/>
      <w:bookmarkEnd w:id="22"/>
      <w:bookmarkEnd w:id="23"/>
      <w:bookmarkEnd w:id="24"/>
      <w:bookmarkEnd w:id="25"/>
    </w:p>
    <w:p>
      <w:pPr>
        <w:pStyle w:val="10"/>
        <w:ind w:firstLine="640"/>
        <w:rPr>
          <w:rFonts w:eastAsia="仿宋_GB2312" w:cs="Times New Roman"/>
          <w:szCs w:val="32"/>
        </w:rPr>
      </w:pPr>
      <w:r>
        <w:rPr>
          <w:rFonts w:eastAsia="仿宋_GB2312" w:cs="Times New Roman"/>
          <w:szCs w:val="32"/>
        </w:rPr>
        <w:t>以解决突出大气环境问题为重点，严守大气环境质量</w:t>
      </w:r>
      <w:r>
        <w:rPr>
          <w:rFonts w:hint="eastAsia" w:eastAsia="仿宋_GB2312" w:cs="Times New Roman"/>
          <w:szCs w:val="32"/>
        </w:rPr>
        <w:t>“</w:t>
      </w:r>
      <w:r>
        <w:rPr>
          <w:rFonts w:eastAsia="仿宋_GB2312" w:cs="Times New Roman"/>
          <w:szCs w:val="32"/>
        </w:rPr>
        <w:t>只能更好</w:t>
      </w:r>
      <w:r>
        <w:rPr>
          <w:rFonts w:hint="eastAsia" w:eastAsia="仿宋_GB2312" w:cs="Times New Roman"/>
          <w:szCs w:val="32"/>
        </w:rPr>
        <w:t>、</w:t>
      </w:r>
      <w:r>
        <w:rPr>
          <w:rFonts w:eastAsia="仿宋_GB2312" w:cs="Times New Roman"/>
          <w:szCs w:val="32"/>
        </w:rPr>
        <w:t>不能变坏</w:t>
      </w:r>
      <w:r>
        <w:rPr>
          <w:rFonts w:hint="eastAsia" w:eastAsia="仿宋_GB2312" w:cs="Times New Roman"/>
          <w:szCs w:val="32"/>
        </w:rPr>
        <w:t>”</w:t>
      </w:r>
      <w:r>
        <w:rPr>
          <w:rFonts w:eastAsia="仿宋_GB2312" w:cs="Times New Roman"/>
          <w:szCs w:val="32"/>
        </w:rPr>
        <w:t>的底线，</w:t>
      </w:r>
      <w:r>
        <w:rPr>
          <w:rFonts w:hint="eastAsia" w:eastAsia="仿宋_GB2312" w:cs="Times New Roman"/>
          <w:szCs w:val="32"/>
        </w:rPr>
        <w:t>全面</w:t>
      </w:r>
      <w:r>
        <w:rPr>
          <w:rFonts w:eastAsia="仿宋_GB2312" w:cs="Times New Roman"/>
          <w:szCs w:val="32"/>
        </w:rPr>
        <w:t>推行以区为单位的“1+X+Y”</w:t>
      </w:r>
      <w:r>
        <w:rPr>
          <w:rFonts w:hint="eastAsia" w:eastAsia="仿宋_GB2312" w:cs="Times New Roman"/>
          <w:szCs w:val="32"/>
        </w:rPr>
        <w:t>治理</w:t>
      </w:r>
      <w:r>
        <w:rPr>
          <w:rFonts w:eastAsia="仿宋_GB2312" w:cs="Times New Roman"/>
          <w:szCs w:val="32"/>
        </w:rPr>
        <w:t>模式，</w:t>
      </w:r>
      <w:r>
        <w:rPr>
          <w:rFonts w:hint="eastAsia" w:eastAsia="仿宋_GB2312" w:cs="Times New Roman"/>
          <w:szCs w:val="32"/>
        </w:rPr>
        <w:t>坚持PM</w:t>
      </w:r>
      <w:r>
        <w:rPr>
          <w:rFonts w:hint="eastAsia" w:eastAsia="仿宋_GB2312" w:cs="Times New Roman"/>
          <w:szCs w:val="32"/>
          <w:vertAlign w:val="subscript"/>
        </w:rPr>
        <w:t>2.5</w:t>
      </w:r>
      <w:r>
        <w:rPr>
          <w:rFonts w:hint="eastAsia" w:eastAsia="仿宋_GB2312" w:cs="Times New Roman"/>
          <w:szCs w:val="32"/>
        </w:rPr>
        <w:t>和O</w:t>
      </w:r>
      <w:r>
        <w:rPr>
          <w:rFonts w:hint="eastAsia" w:eastAsia="仿宋_GB2312" w:cs="Times New Roman"/>
          <w:szCs w:val="32"/>
          <w:vertAlign w:val="subscript"/>
        </w:rPr>
        <w:t>3</w:t>
      </w:r>
      <w:r>
        <w:rPr>
          <w:rFonts w:hint="eastAsia" w:eastAsia="仿宋_GB2312" w:cs="Times New Roman"/>
          <w:szCs w:val="32"/>
        </w:rPr>
        <w:t>协同控制，</w:t>
      </w:r>
      <w:r>
        <w:rPr>
          <w:rFonts w:eastAsia="仿宋_GB2312" w:cs="Times New Roman"/>
          <w:szCs w:val="32"/>
        </w:rPr>
        <w:t>深化实施网格化精细管理，</w:t>
      </w:r>
      <w:r>
        <w:rPr>
          <w:rFonts w:hint="eastAsia" w:eastAsia="仿宋_GB2312" w:cs="Times New Roman"/>
          <w:szCs w:val="32"/>
        </w:rPr>
        <w:t>实现PM</w:t>
      </w:r>
      <w:r>
        <w:rPr>
          <w:rFonts w:hint="eastAsia" w:eastAsia="仿宋_GB2312" w:cs="Times New Roman"/>
          <w:szCs w:val="32"/>
          <w:vertAlign w:val="subscript"/>
        </w:rPr>
        <w:t>2.5</w:t>
      </w:r>
      <w:r>
        <w:rPr>
          <w:rFonts w:hint="eastAsia" w:eastAsia="仿宋_GB2312" w:cs="Times New Roman"/>
          <w:szCs w:val="32"/>
        </w:rPr>
        <w:t>浓度总体下降。</w:t>
      </w:r>
    </w:p>
    <w:p>
      <w:pPr>
        <w:pStyle w:val="4"/>
        <w:spacing w:before="120"/>
        <w:ind w:firstLine="640"/>
        <w:rPr>
          <w:b/>
        </w:rPr>
      </w:pPr>
      <w:bookmarkStart w:id="26" w:name="_Toc66713935"/>
      <w:r>
        <w:rPr>
          <w:rFonts w:hint="eastAsia"/>
        </w:rPr>
        <w:t>（</w:t>
      </w:r>
      <w:r>
        <w:rPr>
          <w:rFonts w:hint="eastAsia"/>
          <w:lang w:val="zh-CN"/>
        </w:rPr>
        <w:t>一</w:t>
      </w:r>
      <w:r>
        <w:rPr>
          <w:rFonts w:hint="eastAsia"/>
        </w:rPr>
        <w:t>）</w:t>
      </w:r>
      <w:r>
        <w:rPr>
          <w:rFonts w:hint="eastAsia"/>
          <w:lang w:val="zh-CN"/>
        </w:rPr>
        <w:t>深化燃煤污染治理</w:t>
      </w:r>
      <w:bookmarkEnd w:id="26"/>
    </w:p>
    <w:p>
      <w:pPr>
        <w:pStyle w:val="10"/>
        <w:ind w:firstLine="640"/>
        <w:rPr>
          <w:rFonts w:eastAsia="仿宋_GB2312" w:cs="Times New Roman"/>
          <w:szCs w:val="32"/>
        </w:rPr>
      </w:pPr>
      <w:r>
        <w:rPr>
          <w:rFonts w:hint="eastAsia" w:eastAsia="仿宋_GB2312" w:cs="Times New Roman"/>
          <w:szCs w:val="32"/>
        </w:rPr>
        <w:t>严控新建燃煤项目，全区禁止新建燃煤工业锅炉及其他用途燃煤锅炉。对保留的燃煤锅炉实施深度治理，具备条件的，实施改燃、并网、关停；不具备条件的，确保主要大气污染物稳定达到超低排放水平。对不以煤为原料的工业炉窑实施改燃治理，实现工业炉窑燃料无煤化。持续排查家用商业散煤及煤炭销售。</w:t>
      </w:r>
    </w:p>
    <w:p>
      <w:pPr>
        <w:pStyle w:val="4"/>
        <w:spacing w:before="120"/>
        <w:ind w:firstLine="640"/>
        <w:rPr>
          <w:b/>
          <w:lang w:val="zh-CN"/>
        </w:rPr>
      </w:pPr>
      <w:bookmarkStart w:id="27" w:name="_Toc50994528"/>
      <w:bookmarkStart w:id="28" w:name="_Toc50994603"/>
      <w:bookmarkStart w:id="29" w:name="_Toc50995109"/>
      <w:bookmarkStart w:id="30" w:name="_Toc66713936"/>
      <w:bookmarkStart w:id="31" w:name="_Toc27894"/>
      <w:bookmarkStart w:id="32" w:name="_Toc5372"/>
      <w:r>
        <w:rPr>
          <w:rFonts w:hint="eastAsia"/>
          <w:lang w:val="zh-CN"/>
        </w:rPr>
        <w:t>（二）推进移动源综合治理</w:t>
      </w:r>
      <w:bookmarkEnd w:id="27"/>
      <w:bookmarkEnd w:id="28"/>
      <w:bookmarkEnd w:id="29"/>
      <w:bookmarkEnd w:id="30"/>
      <w:bookmarkEnd w:id="31"/>
      <w:bookmarkEnd w:id="32"/>
    </w:p>
    <w:p>
      <w:pPr>
        <w:pStyle w:val="10"/>
        <w:ind w:firstLine="640"/>
        <w:rPr>
          <w:rFonts w:eastAsia="仿宋_GB2312" w:cs="Times New Roman"/>
          <w:szCs w:val="32"/>
        </w:rPr>
      </w:pPr>
      <w:r>
        <w:rPr>
          <w:rFonts w:hint="eastAsia" w:eastAsia="仿宋_GB2312" w:cs="Times New Roman"/>
          <w:szCs w:val="32"/>
        </w:rPr>
        <w:t>加强新车监管，分阶段实施国六排放标准。实施国三营运柴油车淘汰工作。推动有车大户淘汰更新车辆。实施非道路移动机械环保检测准入制度，严格执行非道路移动机械禁用区要求。</w:t>
      </w:r>
    </w:p>
    <w:p>
      <w:pPr>
        <w:pStyle w:val="10"/>
        <w:ind w:firstLine="640"/>
        <w:rPr>
          <w:rFonts w:eastAsia="仿宋_GB2312" w:cs="Times New Roman"/>
          <w:szCs w:val="32"/>
        </w:rPr>
      </w:pPr>
      <w:r>
        <w:rPr>
          <w:rFonts w:hint="eastAsia" w:eastAsia="仿宋_GB2312" w:cs="Times New Roman"/>
          <w:szCs w:val="32"/>
        </w:rPr>
        <w:t>强化监测检测。认真做好机动车常规检测、新车一致性核查及专项执法检查和各类应急执法保障工作。以高污染高排放老旧柴油货车为重点，实施柴油货车全防全控、抽检抽测，控制大型过境柴油车运营轨迹，实现移动式、固定式遥感监测实时联网。继续落实“环保取证、公安处罚”工作机制。</w:t>
      </w:r>
    </w:p>
    <w:p>
      <w:pPr>
        <w:pStyle w:val="4"/>
        <w:spacing w:before="120"/>
        <w:ind w:firstLine="640"/>
      </w:pPr>
      <w:bookmarkStart w:id="33" w:name="_Toc66713937"/>
      <w:bookmarkStart w:id="34" w:name="_Toc50994604"/>
      <w:bookmarkStart w:id="35" w:name="_Toc50994529"/>
      <w:bookmarkStart w:id="36" w:name="_Toc50995110"/>
      <w:bookmarkStart w:id="37" w:name="_Toc701"/>
      <w:bookmarkStart w:id="38" w:name="_Toc8285"/>
      <w:r>
        <w:rPr>
          <w:rFonts w:hint="eastAsia"/>
        </w:rPr>
        <w:t>（三）加强扬尘污染治理</w:t>
      </w:r>
      <w:bookmarkEnd w:id="33"/>
      <w:bookmarkEnd w:id="34"/>
      <w:bookmarkEnd w:id="35"/>
      <w:bookmarkEnd w:id="36"/>
      <w:bookmarkEnd w:id="37"/>
      <w:bookmarkEnd w:id="38"/>
    </w:p>
    <w:p>
      <w:pPr>
        <w:pStyle w:val="10"/>
        <w:ind w:firstLine="640"/>
        <w:rPr>
          <w:rFonts w:eastAsia="仿宋_GB2312" w:cs="Times New Roman"/>
          <w:color w:val="FF0000"/>
          <w:szCs w:val="32"/>
          <w:lang w:val="en"/>
        </w:rPr>
      </w:pPr>
      <w:r>
        <w:rPr>
          <w:rFonts w:hint="eastAsia" w:eastAsia="仿宋_GB2312" w:cs="Times New Roman"/>
          <w:szCs w:val="32"/>
        </w:rPr>
        <w:t>加大环境执法密度和强度，严格控制施工扬尘。强化裸露地面治理，用好用足高架视频、无人机技术手段，实现科技化监管全覆盖，持续排查防止反弹。结合</w:t>
      </w:r>
      <w:r>
        <w:rPr>
          <w:rFonts w:hint="eastAsia" w:eastAsia="仿宋_GB2312" w:cs="Times New Roman"/>
        </w:rPr>
        <w:t>街镇降尘量通报情况，分析我区各监测点位扬尘管控情况，</w:t>
      </w:r>
      <w:r>
        <w:rPr>
          <w:rFonts w:hint="eastAsia" w:eastAsia="仿宋_GB2312" w:cs="Times New Roman"/>
          <w:szCs w:val="32"/>
        </w:rPr>
        <w:t>采取有效抑尘措施，提升精细化管理水平。</w:t>
      </w:r>
    </w:p>
    <w:p>
      <w:pPr>
        <w:pStyle w:val="10"/>
        <w:ind w:firstLine="640"/>
        <w:rPr>
          <w:rFonts w:eastAsia="仿宋_GB2312" w:cs="Times New Roman"/>
          <w:szCs w:val="32"/>
        </w:rPr>
      </w:pPr>
      <w:r>
        <w:rPr>
          <w:rFonts w:hint="eastAsia" w:eastAsia="仿宋_GB2312" w:cs="Times New Roman"/>
          <w:szCs w:val="32"/>
        </w:rPr>
        <w:t>建立重污染应急管控清单动态更新机制，完善应急响应机制，妥善应对重污染天气。</w:t>
      </w:r>
    </w:p>
    <w:p>
      <w:pPr>
        <w:pStyle w:val="4"/>
        <w:spacing w:before="120"/>
        <w:ind w:firstLine="640"/>
      </w:pPr>
      <w:bookmarkStart w:id="39" w:name="_Toc66713938"/>
      <w:r>
        <w:rPr>
          <w:rFonts w:hint="eastAsia"/>
        </w:rPr>
        <w:t>（四）VOCs全过程综合整治</w:t>
      </w:r>
      <w:bookmarkEnd w:id="39"/>
    </w:p>
    <w:p>
      <w:pPr>
        <w:pStyle w:val="10"/>
        <w:ind w:firstLine="640"/>
        <w:rPr>
          <w:rFonts w:eastAsia="仿宋_GB2312" w:cs="Times New Roman"/>
          <w:szCs w:val="32"/>
        </w:rPr>
      </w:pPr>
      <w:r>
        <w:rPr>
          <w:rFonts w:hint="eastAsia" w:eastAsia="仿宋_GB2312" w:cs="Times New Roman"/>
          <w:szCs w:val="32"/>
        </w:rPr>
        <w:t>大力推进源头替代，严格落实国家和地方产品VOCs含量限值标准。加强工艺过程管控，促进成熟先进技术推广应用。末端治理提效升级，加强无组织排放管控。做好“一厂一策”精细化管控。协助加大油品储运销全过程VOCs排放控制力度。</w:t>
      </w:r>
    </w:p>
    <w:p>
      <w:pPr>
        <w:pStyle w:val="4"/>
        <w:spacing w:before="120"/>
        <w:ind w:firstLine="640"/>
      </w:pPr>
      <w:bookmarkStart w:id="40" w:name="_Toc66713939"/>
      <w:bookmarkStart w:id="41" w:name="_Toc53590585"/>
      <w:r>
        <w:rPr>
          <w:rFonts w:hint="eastAsia"/>
        </w:rPr>
        <w:t>（五）深化餐饮油烟污染治理</w:t>
      </w:r>
      <w:bookmarkEnd w:id="40"/>
      <w:bookmarkEnd w:id="41"/>
    </w:p>
    <w:p>
      <w:pPr>
        <w:adjustRightInd w:val="0"/>
        <w:snapToGrid w:val="0"/>
        <w:ind w:firstLine="640"/>
        <w:rPr>
          <w:rFonts w:eastAsia="仿宋_GB2312" w:cs="Times New Roman"/>
          <w:szCs w:val="32"/>
        </w:rPr>
      </w:pPr>
      <w:r>
        <w:rPr>
          <w:rFonts w:hint="eastAsia" w:eastAsia="仿宋_GB2312" w:cs="Times New Roman"/>
          <w:bCs/>
          <w:szCs w:val="32"/>
        </w:rPr>
        <w:t>根据《红桥区油烟治理专项行动实施方案》，开展餐饮油烟污染治理。严格新建饮食服务经营场所的环保审批，</w:t>
      </w:r>
      <w:r>
        <w:rPr>
          <w:rFonts w:eastAsia="仿宋_GB2312" w:cs="Times New Roman"/>
          <w:bCs/>
          <w:szCs w:val="32"/>
        </w:rPr>
        <w:t>落实</w:t>
      </w:r>
      <w:r>
        <w:rPr>
          <w:rFonts w:hint="eastAsia" w:eastAsia="仿宋_GB2312" w:cs="Times New Roman"/>
          <w:bCs/>
          <w:szCs w:val="32"/>
        </w:rPr>
        <w:t>餐饮服务经营场所安装高效油烟净化设施，强化运行监管；强化对无油烟净化设施露天烧烤的环境监管。</w:t>
      </w:r>
    </w:p>
    <w:p>
      <w:pPr>
        <w:pStyle w:val="3"/>
        <w:ind w:firstLine="640"/>
      </w:pPr>
      <w:bookmarkStart w:id="42" w:name="_Toc66713940"/>
      <w:bookmarkStart w:id="43" w:name="_Toc50995112"/>
      <w:bookmarkStart w:id="44" w:name="_Toc9970"/>
      <w:bookmarkStart w:id="45" w:name="_Toc19939"/>
      <w:bookmarkStart w:id="46" w:name="_Toc50994531"/>
      <w:bookmarkStart w:id="47" w:name="_Toc50994606"/>
      <w:r>
        <w:rPr>
          <w:rFonts w:hint="eastAsia"/>
        </w:rPr>
        <w:t>二、精准施策，改善水体环境质量</w:t>
      </w:r>
      <w:bookmarkEnd w:id="42"/>
      <w:bookmarkEnd w:id="43"/>
      <w:bookmarkEnd w:id="44"/>
      <w:bookmarkEnd w:id="45"/>
      <w:bookmarkEnd w:id="46"/>
      <w:bookmarkEnd w:id="47"/>
    </w:p>
    <w:p>
      <w:pPr>
        <w:pStyle w:val="10"/>
        <w:ind w:firstLine="640"/>
        <w:rPr>
          <w:rFonts w:eastAsia="仿宋_GB2312" w:cs="Times New Roman"/>
          <w:szCs w:val="32"/>
        </w:rPr>
      </w:pPr>
      <w:r>
        <w:rPr>
          <w:rFonts w:hint="eastAsia" w:eastAsia="仿宋_GB2312" w:cs="Times New Roman"/>
          <w:szCs w:val="32"/>
        </w:rPr>
        <w:t>坚持水资源、水生态、水环境“三</w:t>
      </w:r>
      <w:r>
        <w:rPr>
          <w:rFonts w:eastAsia="仿宋_GB2312" w:cs="Times New Roman"/>
          <w:szCs w:val="32"/>
        </w:rPr>
        <w:t>水共</w:t>
      </w:r>
      <w:r>
        <w:rPr>
          <w:rFonts w:hint="eastAsia" w:eastAsia="仿宋_GB2312" w:cs="Times New Roman"/>
          <w:szCs w:val="32"/>
        </w:rPr>
        <w:t xml:space="preserve">治”，严格落实河湖长制，改善水体环境质量，巩固“清四乱”专项行动成效，打造“美丽河湖”。 </w:t>
      </w:r>
    </w:p>
    <w:p>
      <w:pPr>
        <w:pStyle w:val="4"/>
        <w:spacing w:before="120"/>
        <w:ind w:firstLine="640"/>
      </w:pPr>
      <w:bookmarkStart w:id="48" w:name="_Toc66713941"/>
      <w:r>
        <w:rPr>
          <w:rFonts w:hint="eastAsia"/>
        </w:rPr>
        <w:t>（一）实施地表水污染防治</w:t>
      </w:r>
      <w:bookmarkEnd w:id="48"/>
    </w:p>
    <w:p>
      <w:pPr>
        <w:pStyle w:val="10"/>
        <w:ind w:firstLine="640"/>
        <w:rPr>
          <w:rFonts w:eastAsia="仿宋_GB2312" w:cs="Times New Roman"/>
          <w:szCs w:val="32"/>
        </w:rPr>
      </w:pPr>
      <w:r>
        <w:rPr>
          <w:rFonts w:hint="eastAsia" w:eastAsia="仿宋_GB2312" w:cs="Times New Roman"/>
          <w:szCs w:val="32"/>
        </w:rPr>
        <w:t>坚持水陆</w:t>
      </w:r>
      <w:r>
        <w:rPr>
          <w:rFonts w:eastAsia="仿宋_GB2312" w:cs="Times New Roman"/>
          <w:szCs w:val="32"/>
        </w:rPr>
        <w:t>统筹，系统施</w:t>
      </w:r>
      <w:r>
        <w:rPr>
          <w:rFonts w:hint="eastAsia" w:eastAsia="仿宋_GB2312" w:cs="Times New Roman"/>
          <w:szCs w:val="32"/>
        </w:rPr>
        <w:t>治。持续完善污水收集管网，消除城市建成区污水管网空白区。推进雨污合流管网改造，实施雨污错接混接点改造。有效推进医疗废水检查与污染防治，不断完善医疗污水管理工作长效机制，加强日常监管力度和硬件设施建设。</w:t>
      </w:r>
    </w:p>
    <w:p>
      <w:pPr>
        <w:pStyle w:val="10"/>
        <w:ind w:firstLine="640"/>
        <w:rPr>
          <w:rFonts w:eastAsia="仿宋_GB2312" w:cs="Times New Roman"/>
          <w:szCs w:val="32"/>
        </w:rPr>
      </w:pPr>
      <w:r>
        <w:rPr>
          <w:rFonts w:hint="eastAsia" w:eastAsia="仿宋_GB2312" w:cs="Times New Roman"/>
          <w:szCs w:val="32"/>
        </w:rPr>
        <w:t>重点加强子牙河、北运河、南运河以及海河的汛期雨水和冬季化冰期</w:t>
      </w:r>
      <w:r>
        <w:rPr>
          <w:rFonts w:eastAsia="仿宋_GB2312" w:cs="Times New Roman"/>
          <w:szCs w:val="32"/>
        </w:rPr>
        <w:t>污染防治，综合运用控源减排、生态修复、强化监管等多种手段，系统</w:t>
      </w:r>
      <w:r>
        <w:rPr>
          <w:rFonts w:hint="eastAsia" w:eastAsia="仿宋_GB2312" w:cs="Times New Roman"/>
          <w:szCs w:val="32"/>
        </w:rPr>
        <w:t>实施</w:t>
      </w:r>
      <w:r>
        <w:rPr>
          <w:rFonts w:eastAsia="仿宋_GB2312" w:cs="Times New Roman"/>
          <w:szCs w:val="32"/>
        </w:rPr>
        <w:t>水污染治理、水资源配置、水生态修复等工程，构建系统化、综合化的水污染防治模式。</w:t>
      </w:r>
    </w:p>
    <w:p>
      <w:pPr>
        <w:pStyle w:val="4"/>
        <w:spacing w:before="120"/>
        <w:ind w:firstLine="640"/>
      </w:pPr>
      <w:bookmarkStart w:id="49" w:name="_Toc66713942"/>
      <w:r>
        <w:rPr>
          <w:rFonts w:hint="eastAsia"/>
        </w:rPr>
        <w:t>（二）合理保护水资源</w:t>
      </w:r>
      <w:bookmarkEnd w:id="49"/>
    </w:p>
    <w:p>
      <w:pPr>
        <w:pStyle w:val="10"/>
        <w:ind w:firstLine="640"/>
        <w:rPr>
          <w:rFonts w:eastAsia="仿宋_GB2312" w:cs="Times New Roman"/>
          <w:szCs w:val="32"/>
        </w:rPr>
      </w:pPr>
      <w:r>
        <w:rPr>
          <w:rFonts w:hint="eastAsia" w:eastAsia="仿宋_GB2312" w:cs="Times New Roman"/>
          <w:szCs w:val="32"/>
        </w:rPr>
        <w:t>严格水资源保护，加强水资源开发利用控制、用水效率控制、水功能区限制纳污三条红线管理。加强水域岸线生态保护，强化沿河道路保洁，开展地下水监测。</w:t>
      </w:r>
    </w:p>
    <w:p>
      <w:pPr>
        <w:pStyle w:val="3"/>
        <w:ind w:firstLine="640"/>
      </w:pPr>
      <w:bookmarkStart w:id="50" w:name="_Toc50994535"/>
      <w:bookmarkStart w:id="51" w:name="_Toc50994610"/>
      <w:bookmarkStart w:id="52" w:name="_Toc31116"/>
      <w:bookmarkStart w:id="53" w:name="_Toc66713943"/>
      <w:bookmarkStart w:id="54" w:name="_Toc7909"/>
      <w:bookmarkStart w:id="55" w:name="_Toc50995116"/>
      <w:r>
        <w:rPr>
          <w:rFonts w:hint="eastAsia"/>
        </w:rPr>
        <w:t>三、强化管</w:t>
      </w:r>
      <w:r>
        <w:t>控，</w:t>
      </w:r>
      <w:r>
        <w:rPr>
          <w:rFonts w:hint="eastAsia"/>
        </w:rPr>
        <w:t>改善</w:t>
      </w:r>
      <w:r>
        <w:t>土壤环境质量</w:t>
      </w:r>
      <w:bookmarkEnd w:id="50"/>
      <w:bookmarkEnd w:id="51"/>
      <w:bookmarkEnd w:id="52"/>
      <w:bookmarkEnd w:id="53"/>
      <w:bookmarkEnd w:id="54"/>
      <w:bookmarkEnd w:id="55"/>
    </w:p>
    <w:p>
      <w:pPr>
        <w:pStyle w:val="10"/>
        <w:ind w:firstLine="640"/>
        <w:rPr>
          <w:rFonts w:eastAsia="仿宋_GB2312" w:cs="Times New Roman"/>
          <w:szCs w:val="32"/>
        </w:rPr>
      </w:pPr>
      <w:r>
        <w:rPr>
          <w:rFonts w:hint="eastAsia" w:eastAsia="仿宋_GB2312" w:cs="Times New Roman"/>
          <w:szCs w:val="32"/>
        </w:rPr>
        <w:t>积极实施土壤污染防治行动计划，有效管控建设用地土壤环境风险。</w:t>
      </w:r>
    </w:p>
    <w:p>
      <w:pPr>
        <w:pStyle w:val="4"/>
        <w:spacing w:before="120"/>
        <w:ind w:firstLine="640"/>
      </w:pPr>
      <w:bookmarkStart w:id="56" w:name="_Toc66713944"/>
      <w:r>
        <w:rPr>
          <w:rFonts w:hint="eastAsia"/>
        </w:rPr>
        <w:t>（一）实行建设用地全过程管理</w:t>
      </w:r>
      <w:bookmarkEnd w:id="56"/>
    </w:p>
    <w:p>
      <w:pPr>
        <w:pStyle w:val="10"/>
        <w:ind w:firstLine="640"/>
        <w:rPr>
          <w:rFonts w:eastAsia="仿宋_GB2312" w:cs="Times New Roman"/>
          <w:szCs w:val="32"/>
        </w:rPr>
      </w:pPr>
      <w:r>
        <w:rPr>
          <w:rFonts w:hint="eastAsia" w:eastAsia="仿宋_GB2312" w:cs="Times New Roman"/>
          <w:szCs w:val="32"/>
        </w:rPr>
        <w:t>完善建设用地土壤污染状况强制调查制度，严格监管污染地块开发利用时序，建立完善暂不开发利用污染地块环境风险管控机制，严格建设用地准入管理。</w:t>
      </w:r>
    </w:p>
    <w:p>
      <w:pPr>
        <w:pStyle w:val="4"/>
        <w:spacing w:before="120"/>
        <w:ind w:firstLine="640"/>
        <w:rPr>
          <w:lang w:val="zh-CN"/>
        </w:rPr>
      </w:pPr>
      <w:bookmarkStart w:id="57" w:name="_Toc66713945"/>
      <w:r>
        <w:rPr>
          <w:rFonts w:hint="eastAsia"/>
          <w:lang w:val="zh-CN"/>
        </w:rPr>
        <w:t>（二）推进土壤污染治理与修复</w:t>
      </w:r>
      <w:bookmarkEnd w:id="57"/>
    </w:p>
    <w:p>
      <w:pPr>
        <w:pStyle w:val="10"/>
        <w:ind w:firstLine="640"/>
        <w:rPr>
          <w:rFonts w:eastAsia="仿宋_GB2312" w:cs="Times New Roman"/>
          <w:szCs w:val="32"/>
        </w:rPr>
      </w:pPr>
      <w:r>
        <w:rPr>
          <w:rFonts w:hint="eastAsia" w:eastAsia="仿宋_GB2312" w:cs="Times New Roman"/>
          <w:szCs w:val="32"/>
        </w:rPr>
        <w:t>全面开展土壤污染状况调查和土壤污染风险评估、风险管控、修复、风险管控效果评估、修复效果评估、后期管理等工作，对受污染地块开展治理与修复，加强从事土壤污染风险管控和修复单位的监管，动态更新并公开建设用地土壤污染风险管控和修复名录。严格管控工业污染，实施土壤污染重点监管单位名录制度，压实在产企业土壤污染防治责任。</w:t>
      </w:r>
    </w:p>
    <w:p>
      <w:pPr>
        <w:pStyle w:val="4"/>
        <w:spacing w:before="120"/>
        <w:ind w:firstLine="640"/>
      </w:pPr>
      <w:bookmarkStart w:id="58" w:name="_Toc66713946"/>
      <w:r>
        <w:rPr>
          <w:rFonts w:hint="eastAsia"/>
        </w:rPr>
        <w:t>（三）加强土壤与</w:t>
      </w:r>
      <w:r>
        <w:t>地下水污染协同防治</w:t>
      </w:r>
      <w:bookmarkEnd w:id="58"/>
    </w:p>
    <w:p>
      <w:pPr>
        <w:pStyle w:val="10"/>
        <w:ind w:firstLine="640"/>
        <w:rPr>
          <w:rFonts w:eastAsia="仿宋_GB2312" w:cs="Times New Roman"/>
          <w:szCs w:val="32"/>
        </w:rPr>
      </w:pPr>
      <w:r>
        <w:rPr>
          <w:rFonts w:eastAsia="仿宋_GB2312" w:cs="Times New Roman"/>
          <w:szCs w:val="32"/>
        </w:rPr>
        <w:t>严控地下水污染源，开展地下水典型风险源排查，建立典型地下水风险源清单，对地下水风险源加强防渗处理；建立重点污染源监测网，从源头监控地下水污染，2024年底前完成全</w:t>
      </w:r>
      <w:r>
        <w:rPr>
          <w:rFonts w:hint="eastAsia" w:eastAsia="仿宋_GB2312" w:cs="Times New Roman"/>
          <w:szCs w:val="32"/>
        </w:rPr>
        <w:t>区</w:t>
      </w:r>
      <w:r>
        <w:rPr>
          <w:rFonts w:eastAsia="仿宋_GB2312" w:cs="Times New Roman"/>
          <w:szCs w:val="32"/>
        </w:rPr>
        <w:t>地下水环境监测网构建；加强本</w:t>
      </w:r>
      <w:r>
        <w:rPr>
          <w:rFonts w:hint="eastAsia" w:eastAsia="仿宋_GB2312" w:cs="Times New Roman"/>
          <w:szCs w:val="32"/>
        </w:rPr>
        <w:t>区</w:t>
      </w:r>
      <w:r>
        <w:rPr>
          <w:rFonts w:eastAsia="仿宋_GB2312" w:cs="Times New Roman"/>
          <w:szCs w:val="32"/>
        </w:rPr>
        <w:t>地下水污染协同防治，加强区域与场地地下水污染协同防治。</w:t>
      </w:r>
    </w:p>
    <w:p>
      <w:pPr>
        <w:pStyle w:val="3"/>
        <w:ind w:firstLine="640"/>
        <w:rPr>
          <w:lang w:val="zh-CN"/>
        </w:rPr>
      </w:pPr>
      <w:bookmarkStart w:id="59" w:name="_Toc66713947"/>
      <w:r>
        <w:rPr>
          <w:rFonts w:hint="eastAsia"/>
          <w:lang w:val="zh-CN"/>
        </w:rPr>
        <w:t>四、多管齐下，管控固体</w:t>
      </w:r>
      <w:r>
        <w:rPr>
          <w:lang w:val="zh-CN"/>
        </w:rPr>
        <w:t>废物和噪声污染</w:t>
      </w:r>
      <w:bookmarkEnd w:id="59"/>
    </w:p>
    <w:p>
      <w:pPr>
        <w:pStyle w:val="10"/>
        <w:ind w:firstLine="640"/>
        <w:rPr>
          <w:lang w:val="zh-CN"/>
        </w:rPr>
      </w:pPr>
      <w:r>
        <w:rPr>
          <w:rFonts w:hint="eastAsia"/>
          <w:lang w:val="zh-CN"/>
        </w:rPr>
        <w:t>坚持多措并举，强化固体废物环境风险防范，防治环境噪声污染，保护和改善生活环境，保障人体健康。</w:t>
      </w:r>
    </w:p>
    <w:p>
      <w:pPr>
        <w:pStyle w:val="4"/>
        <w:spacing w:before="120"/>
        <w:ind w:firstLine="640"/>
      </w:pPr>
      <w:bookmarkStart w:id="60" w:name="_Toc66713948"/>
      <w:r>
        <w:rPr>
          <w:rFonts w:hint="eastAsia"/>
        </w:rPr>
        <w:t>（一）加强固体</w:t>
      </w:r>
      <w:r>
        <w:t>废物监管</w:t>
      </w:r>
      <w:r>
        <w:rPr>
          <w:rFonts w:hint="eastAsia"/>
        </w:rPr>
        <w:t>规范化</w:t>
      </w:r>
      <w:bookmarkEnd w:id="60"/>
    </w:p>
    <w:p>
      <w:pPr>
        <w:pStyle w:val="10"/>
        <w:ind w:firstLine="640"/>
        <w:rPr>
          <w:rFonts w:eastAsia="仿宋_GB2312" w:cs="Times New Roman"/>
          <w:szCs w:val="32"/>
        </w:rPr>
      </w:pPr>
      <w:r>
        <w:rPr>
          <w:rFonts w:hint="eastAsia" w:eastAsia="仿宋_GB2312" w:cs="Times New Roman"/>
          <w:szCs w:val="32"/>
        </w:rPr>
        <w:t>开展</w:t>
      </w:r>
      <w:r>
        <w:rPr>
          <w:rFonts w:eastAsia="仿宋_GB2312" w:cs="Times New Roman"/>
          <w:szCs w:val="32"/>
        </w:rPr>
        <w:t>危险废物</w:t>
      </w:r>
      <w:r>
        <w:rPr>
          <w:rFonts w:hint="eastAsia" w:eastAsia="仿宋_GB2312" w:cs="Times New Roman"/>
          <w:szCs w:val="32"/>
        </w:rPr>
        <w:t>考核</w:t>
      </w:r>
      <w:r>
        <w:rPr>
          <w:rFonts w:eastAsia="仿宋_GB2312" w:cs="Times New Roman"/>
          <w:szCs w:val="32"/>
        </w:rPr>
        <w:t>专项检查，遏制固体废物</w:t>
      </w:r>
      <w:r>
        <w:rPr>
          <w:rFonts w:hint="eastAsia" w:eastAsia="仿宋_GB2312" w:cs="Times New Roman"/>
          <w:szCs w:val="32"/>
        </w:rPr>
        <w:t>非法</w:t>
      </w:r>
      <w:r>
        <w:rPr>
          <w:rFonts w:eastAsia="仿宋_GB2312" w:cs="Times New Roman"/>
          <w:szCs w:val="32"/>
        </w:rPr>
        <w:t>转移和倾倒，</w:t>
      </w:r>
      <w:r>
        <w:rPr>
          <w:rFonts w:hint="eastAsia" w:eastAsia="仿宋_GB2312" w:cs="Times New Roman"/>
          <w:szCs w:val="32"/>
        </w:rPr>
        <w:t>完善</w:t>
      </w:r>
      <w:r>
        <w:rPr>
          <w:rFonts w:eastAsia="仿宋_GB2312" w:cs="Times New Roman"/>
          <w:szCs w:val="32"/>
        </w:rPr>
        <w:t>医疗废物管理工作长效机制，加强危险废物全过程</w:t>
      </w:r>
      <w:r>
        <w:rPr>
          <w:rFonts w:hint="eastAsia" w:eastAsia="仿宋_GB2312" w:cs="Times New Roman"/>
          <w:szCs w:val="32"/>
        </w:rPr>
        <w:t>监管</w:t>
      </w:r>
      <w:r>
        <w:rPr>
          <w:rFonts w:eastAsia="仿宋_GB2312" w:cs="Times New Roman"/>
          <w:szCs w:val="32"/>
        </w:rPr>
        <w:t>，避免危险废物</w:t>
      </w:r>
      <w:r>
        <w:rPr>
          <w:rFonts w:hint="eastAsia" w:eastAsia="仿宋_GB2312" w:cs="Times New Roman"/>
          <w:szCs w:val="32"/>
        </w:rPr>
        <w:t>造成</w:t>
      </w:r>
      <w:r>
        <w:rPr>
          <w:rFonts w:eastAsia="仿宋_GB2312" w:cs="Times New Roman"/>
          <w:szCs w:val="32"/>
        </w:rPr>
        <w:t>土壤</w:t>
      </w:r>
      <w:r>
        <w:rPr>
          <w:rFonts w:hint="eastAsia" w:eastAsia="仿宋_GB2312" w:cs="Times New Roman"/>
          <w:szCs w:val="32"/>
        </w:rPr>
        <w:t>、</w:t>
      </w:r>
      <w:r>
        <w:rPr>
          <w:rFonts w:eastAsia="仿宋_GB2312" w:cs="Times New Roman"/>
          <w:szCs w:val="32"/>
        </w:rPr>
        <w:t>水体污染。</w:t>
      </w:r>
    </w:p>
    <w:p>
      <w:pPr>
        <w:pStyle w:val="4"/>
        <w:spacing w:before="120"/>
        <w:ind w:firstLine="640"/>
      </w:pPr>
      <w:bookmarkStart w:id="61" w:name="_Toc66713949"/>
      <w:r>
        <w:rPr>
          <w:rFonts w:hint="eastAsia"/>
        </w:rPr>
        <w:t>（二）保持声环境</w:t>
      </w:r>
      <w:r>
        <w:t>质量安静宜居</w:t>
      </w:r>
      <w:bookmarkEnd w:id="61"/>
    </w:p>
    <w:p>
      <w:pPr>
        <w:pStyle w:val="10"/>
        <w:ind w:firstLine="640"/>
        <w:rPr>
          <w:rFonts w:eastAsia="仿宋_GB2312" w:cs="Times New Roman"/>
          <w:szCs w:val="32"/>
        </w:rPr>
      </w:pPr>
      <w:r>
        <w:rPr>
          <w:rFonts w:hint="eastAsia" w:eastAsia="仿宋_GB2312" w:cs="Times New Roman"/>
          <w:szCs w:val="32"/>
        </w:rPr>
        <w:t>严格落实噪声功能区划，突出源头治理，加强环境噪声污染防治，健全声环境监测体系。持续做好城市环境噪声专项整治和中高考保障。充分发挥安静居住小区引领作用，持续推进安静小区创建及复测。</w:t>
      </w:r>
    </w:p>
    <w:p>
      <w:pPr>
        <w:pStyle w:val="3"/>
        <w:ind w:firstLine="640"/>
        <w:rPr>
          <w:b/>
          <w:lang w:val="zh-CN"/>
        </w:rPr>
      </w:pPr>
      <w:bookmarkStart w:id="62" w:name="_Toc50994536"/>
      <w:bookmarkStart w:id="63" w:name="_Toc50995117"/>
      <w:bookmarkStart w:id="64" w:name="_Toc50994611"/>
      <w:bookmarkStart w:id="65" w:name="_Toc2006"/>
      <w:bookmarkStart w:id="66" w:name="_Toc66713950"/>
      <w:bookmarkStart w:id="67" w:name="_Toc6635"/>
      <w:r>
        <w:rPr>
          <w:rFonts w:hint="eastAsia"/>
          <w:lang w:val="zh-CN"/>
        </w:rPr>
        <w:t>五、协同控制，积极应对气候变化</w:t>
      </w:r>
      <w:bookmarkEnd w:id="62"/>
      <w:bookmarkEnd w:id="63"/>
      <w:bookmarkEnd w:id="64"/>
      <w:bookmarkEnd w:id="65"/>
      <w:bookmarkEnd w:id="66"/>
      <w:bookmarkEnd w:id="67"/>
    </w:p>
    <w:p>
      <w:pPr>
        <w:pStyle w:val="10"/>
        <w:ind w:firstLine="640"/>
        <w:rPr>
          <w:rFonts w:eastAsia="仿宋_GB2312" w:cs="Times New Roman"/>
          <w:szCs w:val="32"/>
        </w:rPr>
      </w:pPr>
      <w:r>
        <w:rPr>
          <w:rFonts w:hint="eastAsia" w:eastAsia="仿宋_GB2312" w:cs="Times New Roman"/>
          <w:szCs w:val="32"/>
        </w:rPr>
        <w:t>坚持减适并重、协同增效，持续提升基础设施、气象、卫生、水资源利用等领域的适应能力，提高城市气候韧性。</w:t>
      </w:r>
    </w:p>
    <w:p>
      <w:pPr>
        <w:pStyle w:val="4"/>
        <w:spacing w:before="120"/>
        <w:ind w:firstLine="640"/>
      </w:pPr>
      <w:bookmarkStart w:id="68" w:name="_Toc66713951"/>
      <w:r>
        <w:rPr>
          <w:rFonts w:hint="eastAsia"/>
        </w:rPr>
        <w:t>（一）控制温室气体排放</w:t>
      </w:r>
      <w:bookmarkEnd w:id="68"/>
    </w:p>
    <w:p>
      <w:pPr>
        <w:pStyle w:val="10"/>
        <w:ind w:firstLine="640"/>
        <w:rPr>
          <w:rFonts w:eastAsia="仿宋_GB2312" w:cs="Times New Roman"/>
          <w:szCs w:val="32"/>
        </w:rPr>
      </w:pPr>
      <w:r>
        <w:rPr>
          <w:rFonts w:hint="eastAsia" w:eastAsia="仿宋_GB2312" w:cs="Times New Roman"/>
          <w:szCs w:val="32"/>
        </w:rPr>
        <w:t>协助做好建筑、交通及城镇废弃物处理等领域温室气体排放控制。积极协助做好绿色建筑和装配式建筑发展，协助完善绿色出行系统、推广绿色城市配送。创新低碳试点示范，研究全区碳排放达峰目标和路线图，落实碳达峰、碳中和任务。</w:t>
      </w:r>
    </w:p>
    <w:p>
      <w:pPr>
        <w:pStyle w:val="4"/>
        <w:spacing w:before="120"/>
        <w:ind w:firstLine="640"/>
      </w:pPr>
      <w:bookmarkStart w:id="69" w:name="_Toc66713952"/>
      <w:r>
        <w:rPr>
          <w:rFonts w:hint="eastAsia"/>
        </w:rPr>
        <w:t>（二）主动适应气候变化</w:t>
      </w:r>
      <w:bookmarkEnd w:id="69"/>
    </w:p>
    <w:p>
      <w:pPr>
        <w:pStyle w:val="10"/>
        <w:ind w:firstLine="640"/>
        <w:rPr>
          <w:rFonts w:eastAsia="仿宋_GB2312" w:cs="Times New Roman"/>
          <w:szCs w:val="32"/>
        </w:rPr>
      </w:pPr>
      <w:r>
        <w:rPr>
          <w:rFonts w:hint="eastAsia" w:eastAsia="仿宋_GB2312" w:cs="Times New Roman"/>
          <w:szCs w:val="32"/>
        </w:rPr>
        <w:t>提高城市基础设施气候韧性。城市重大基础设施选址、扩建进行气候变化风险评估。提升供电、供热、供水、排水、燃气、通信等城市生命线系统建造、运行和维护技术标准，保障设施在极端天气气候条件下平稳安全运行。优化城市交通线路设计和选址方案，对气候风险高的路段采用强化设计。积极应对热岛效应和城市内涝，强化防洪排泄能力建设。防止水、热、雨、雪等气候条件变化造成旅游资源恶化。</w:t>
      </w:r>
    </w:p>
    <w:p>
      <w:pPr>
        <w:pStyle w:val="4"/>
        <w:spacing w:before="120"/>
        <w:ind w:firstLine="640"/>
      </w:pPr>
      <w:bookmarkStart w:id="70" w:name="_Toc66713953"/>
      <w:r>
        <w:rPr>
          <w:rFonts w:hint="eastAsia"/>
        </w:rPr>
        <w:t>（三）协同推进</w:t>
      </w:r>
      <w:r>
        <w:t>节能降耗</w:t>
      </w:r>
      <w:bookmarkEnd w:id="70"/>
    </w:p>
    <w:p>
      <w:pPr>
        <w:pStyle w:val="10"/>
        <w:ind w:firstLine="640"/>
        <w:rPr>
          <w:rFonts w:eastAsia="仿宋_GB2312" w:cs="Times New Roman"/>
          <w:szCs w:val="32"/>
        </w:rPr>
      </w:pPr>
      <w:r>
        <w:rPr>
          <w:rFonts w:hint="eastAsia" w:eastAsia="仿宋_GB2312" w:cs="Times New Roman"/>
          <w:szCs w:val="32"/>
        </w:rPr>
        <w:t>积极</w:t>
      </w:r>
      <w:r>
        <w:rPr>
          <w:rFonts w:eastAsia="仿宋_GB2312" w:cs="Times New Roman"/>
          <w:szCs w:val="32"/>
        </w:rPr>
        <w:t>协助相关部门持续推进工业、交通、建筑（</w:t>
      </w:r>
      <w:r>
        <w:rPr>
          <w:rFonts w:hint="eastAsia" w:eastAsia="仿宋_GB2312" w:cs="Times New Roman"/>
          <w:szCs w:val="32"/>
        </w:rPr>
        <w:t>含</w:t>
      </w:r>
      <w:r>
        <w:rPr>
          <w:rFonts w:eastAsia="仿宋_GB2312" w:cs="Times New Roman"/>
          <w:szCs w:val="32"/>
        </w:rPr>
        <w:t>商务楼宇和公共机构）</w:t>
      </w:r>
      <w:r>
        <w:rPr>
          <w:rFonts w:hint="eastAsia" w:eastAsia="仿宋_GB2312" w:cs="Times New Roman"/>
          <w:szCs w:val="32"/>
        </w:rPr>
        <w:t>等</w:t>
      </w:r>
      <w:r>
        <w:rPr>
          <w:rFonts w:eastAsia="仿宋_GB2312" w:cs="Times New Roman"/>
          <w:szCs w:val="32"/>
        </w:rPr>
        <w:t>重点</w:t>
      </w:r>
      <w:r>
        <w:rPr>
          <w:rFonts w:hint="eastAsia" w:eastAsia="仿宋_GB2312" w:cs="Times New Roman"/>
          <w:szCs w:val="32"/>
        </w:rPr>
        <w:t>领域</w:t>
      </w:r>
      <w:r>
        <w:rPr>
          <w:rFonts w:eastAsia="仿宋_GB2312" w:cs="Times New Roman"/>
          <w:szCs w:val="32"/>
        </w:rPr>
        <w:t>节能降耗，加强重点单位节能，实施节能重点工程</w:t>
      </w:r>
      <w:r>
        <w:rPr>
          <w:rFonts w:hint="eastAsia" w:eastAsia="仿宋_GB2312" w:cs="Times New Roman"/>
          <w:szCs w:val="32"/>
        </w:rPr>
        <w:t>，全面推进合同能源管理模式，培育龙头型节能企业。强化</w:t>
      </w:r>
      <w:r>
        <w:rPr>
          <w:rFonts w:eastAsia="仿宋_GB2312" w:cs="Times New Roman"/>
          <w:szCs w:val="32"/>
        </w:rPr>
        <w:t>节能目标考核</w:t>
      </w:r>
      <w:r>
        <w:rPr>
          <w:rFonts w:hint="eastAsia" w:eastAsia="仿宋_GB2312" w:cs="Times New Roman"/>
          <w:szCs w:val="32"/>
        </w:rPr>
        <w:t>结果</w:t>
      </w:r>
      <w:r>
        <w:rPr>
          <w:rFonts w:eastAsia="仿宋_GB2312" w:cs="Times New Roman"/>
          <w:szCs w:val="32"/>
        </w:rPr>
        <w:t>在应对气候变化、控制温室</w:t>
      </w:r>
      <w:r>
        <w:rPr>
          <w:rFonts w:hint="eastAsia" w:eastAsia="仿宋_GB2312" w:cs="Times New Roman"/>
          <w:szCs w:val="32"/>
        </w:rPr>
        <w:t>气体</w:t>
      </w:r>
      <w:r>
        <w:rPr>
          <w:rFonts w:eastAsia="仿宋_GB2312" w:cs="Times New Roman"/>
          <w:szCs w:val="32"/>
        </w:rPr>
        <w:t>排放</w:t>
      </w:r>
      <w:r>
        <w:rPr>
          <w:rFonts w:hint="eastAsia" w:eastAsia="仿宋_GB2312" w:cs="Times New Roman"/>
          <w:szCs w:val="32"/>
        </w:rPr>
        <w:t>等</w:t>
      </w:r>
      <w:r>
        <w:rPr>
          <w:rFonts w:eastAsia="仿宋_GB2312" w:cs="Times New Roman"/>
          <w:szCs w:val="32"/>
        </w:rPr>
        <w:t>工作领域的运用。</w:t>
      </w:r>
    </w:p>
    <w:p>
      <w:pPr>
        <w:pStyle w:val="3"/>
        <w:ind w:firstLine="640"/>
        <w:rPr>
          <w:b/>
          <w:lang w:val="zh-CN"/>
        </w:rPr>
      </w:pPr>
      <w:bookmarkStart w:id="71" w:name="_Toc50994541"/>
      <w:bookmarkStart w:id="72" w:name="_Toc66713954"/>
      <w:bookmarkStart w:id="73" w:name="_Toc50995122"/>
      <w:bookmarkStart w:id="74" w:name="_Toc13552"/>
      <w:bookmarkStart w:id="75" w:name="_Toc50994616"/>
      <w:bookmarkStart w:id="76" w:name="_Toc2825"/>
      <w:r>
        <w:rPr>
          <w:rFonts w:hint="eastAsia"/>
          <w:lang w:val="zh-CN"/>
        </w:rPr>
        <w:t>六、保护优先，强化生态保护修复</w:t>
      </w:r>
      <w:bookmarkEnd w:id="71"/>
      <w:bookmarkEnd w:id="72"/>
      <w:bookmarkEnd w:id="73"/>
      <w:bookmarkEnd w:id="74"/>
      <w:bookmarkEnd w:id="75"/>
      <w:bookmarkEnd w:id="76"/>
    </w:p>
    <w:p>
      <w:pPr>
        <w:pStyle w:val="10"/>
        <w:ind w:firstLine="640"/>
        <w:rPr>
          <w:rFonts w:eastAsia="仿宋_GB2312" w:cs="Times New Roman"/>
          <w:szCs w:val="32"/>
        </w:rPr>
      </w:pPr>
      <w:r>
        <w:rPr>
          <w:rFonts w:hint="eastAsia" w:eastAsia="仿宋_GB2312" w:cs="Times New Roman"/>
          <w:szCs w:val="32"/>
        </w:rPr>
        <w:t>坚持山水林田湖草是生命共同体理念，统筹污染防治和生态环境保护，依托我区的生态资源，形成以四河一湖（北运河、子牙河、南运河、津河、西沽湖水系）和人工绿地相结合的生态建设和保护格局，构建以“三河五岸”为骨架的生态廊道，修复水系的生态功能，</w:t>
      </w:r>
      <w:r>
        <w:rPr>
          <w:rFonts w:eastAsia="仿宋_GB2312" w:cs="Times New Roman"/>
          <w:szCs w:val="32"/>
        </w:rPr>
        <w:t>打造</w:t>
      </w:r>
      <w:r>
        <w:rPr>
          <w:rFonts w:hint="eastAsia" w:eastAsia="仿宋_GB2312" w:cs="Times New Roman"/>
          <w:szCs w:val="32"/>
        </w:rPr>
        <w:t>水</w:t>
      </w:r>
      <w:r>
        <w:rPr>
          <w:rFonts w:eastAsia="仿宋_GB2312" w:cs="Times New Roman"/>
          <w:szCs w:val="32"/>
        </w:rPr>
        <w:t>绿交融“</w:t>
      </w:r>
      <w:r>
        <w:rPr>
          <w:rFonts w:hint="eastAsia" w:eastAsia="仿宋_GB2312" w:cs="Times New Roman"/>
          <w:szCs w:val="32"/>
        </w:rPr>
        <w:t>生态</w:t>
      </w:r>
      <w:r>
        <w:rPr>
          <w:rFonts w:eastAsia="仿宋_GB2312" w:cs="Times New Roman"/>
          <w:szCs w:val="32"/>
        </w:rPr>
        <w:t>之城”</w:t>
      </w:r>
      <w:r>
        <w:rPr>
          <w:rFonts w:hint="eastAsia" w:eastAsia="仿宋_GB2312" w:cs="Times New Roman"/>
          <w:szCs w:val="32"/>
        </w:rPr>
        <w:t>。</w:t>
      </w:r>
    </w:p>
    <w:p>
      <w:pPr>
        <w:pStyle w:val="4"/>
        <w:spacing w:before="120"/>
        <w:ind w:firstLine="640"/>
      </w:pPr>
      <w:bookmarkStart w:id="77" w:name="_Toc66713955"/>
      <w:r>
        <w:rPr>
          <w:rFonts w:hint="eastAsia"/>
        </w:rPr>
        <w:t>（一）严守生态保护红线</w:t>
      </w:r>
      <w:bookmarkEnd w:id="77"/>
    </w:p>
    <w:p>
      <w:pPr>
        <w:pStyle w:val="10"/>
        <w:ind w:firstLine="640"/>
        <w:rPr>
          <w:rFonts w:eastAsia="仿宋_GB2312" w:cs="Times New Roman"/>
          <w:szCs w:val="32"/>
        </w:rPr>
      </w:pPr>
      <w:r>
        <w:rPr>
          <w:rFonts w:hint="eastAsia" w:eastAsia="仿宋_GB2312" w:cs="Times New Roman"/>
          <w:szCs w:val="32"/>
        </w:rPr>
        <w:t>实施生态保护红线分级分类管理，对环境质量、生态功能、资源利用等采取最严格的管控措施，禁止破坏主要生态功能和环境质量的建设开发活动，建立产业退出机制，确保生态保护红线区域空间面积不少、生态功能不降低、用地性质不改变、资源使用不超限。</w:t>
      </w:r>
    </w:p>
    <w:p>
      <w:pPr>
        <w:pStyle w:val="4"/>
        <w:spacing w:before="120"/>
        <w:ind w:firstLine="640"/>
      </w:pPr>
      <w:bookmarkStart w:id="78" w:name="_Toc66713956"/>
      <w:r>
        <w:rPr>
          <w:rFonts w:hint="eastAsia"/>
        </w:rPr>
        <w:t>（二）强化生态保护修复</w:t>
      </w:r>
      <w:bookmarkEnd w:id="78"/>
    </w:p>
    <w:p>
      <w:pPr>
        <w:pStyle w:val="10"/>
        <w:ind w:firstLine="640"/>
        <w:rPr>
          <w:rFonts w:eastAsia="仿宋_GB2312" w:cs="Times New Roman"/>
          <w:szCs w:val="32"/>
        </w:rPr>
      </w:pPr>
      <w:r>
        <w:rPr>
          <w:rFonts w:hint="eastAsia" w:eastAsia="仿宋_GB2312" w:cs="Times New Roman"/>
          <w:szCs w:val="32"/>
        </w:rPr>
        <w:t>坚持健康生态、绿色集约。推进大运河（红桥段）国家文化公园建设。实施大运河</w:t>
      </w:r>
      <w:r>
        <w:rPr>
          <w:rFonts w:eastAsia="仿宋_GB2312" w:cs="Times New Roman"/>
          <w:szCs w:val="32"/>
        </w:rPr>
        <w:t>水体治理、</w:t>
      </w:r>
      <w:r>
        <w:rPr>
          <w:rFonts w:hint="eastAsia" w:eastAsia="仿宋_GB2312" w:cs="Times New Roman"/>
          <w:szCs w:val="32"/>
        </w:rPr>
        <w:t>沿岸环境</w:t>
      </w:r>
      <w:r>
        <w:rPr>
          <w:rFonts w:eastAsia="仿宋_GB2312" w:cs="Times New Roman"/>
          <w:szCs w:val="32"/>
        </w:rPr>
        <w:t>提升</w:t>
      </w:r>
      <w:r>
        <w:rPr>
          <w:rFonts w:hint="eastAsia" w:eastAsia="仿宋_GB2312" w:cs="Times New Roman"/>
          <w:szCs w:val="32"/>
        </w:rPr>
        <w:t>、清淤工程和水质监测工程。推进南运河</w:t>
      </w:r>
      <w:r>
        <w:rPr>
          <w:rFonts w:eastAsia="仿宋_GB2312" w:cs="Times New Roman"/>
          <w:szCs w:val="32"/>
        </w:rPr>
        <w:t>、北运河、子牙河等河流治理，</w:t>
      </w:r>
      <w:r>
        <w:rPr>
          <w:rFonts w:hint="eastAsia" w:eastAsia="仿宋_GB2312" w:cs="Times New Roman"/>
          <w:szCs w:val="32"/>
        </w:rPr>
        <w:t>恢复</w:t>
      </w:r>
      <w:r>
        <w:rPr>
          <w:rFonts w:eastAsia="仿宋_GB2312" w:cs="Times New Roman"/>
          <w:szCs w:val="32"/>
        </w:rPr>
        <w:t>并保持水体的自然流动性和</w:t>
      </w:r>
      <w:r>
        <w:rPr>
          <w:rFonts w:hint="eastAsia" w:eastAsia="仿宋_GB2312" w:cs="Times New Roman"/>
          <w:szCs w:val="32"/>
        </w:rPr>
        <w:t>连通</w:t>
      </w:r>
      <w:r>
        <w:rPr>
          <w:rFonts w:eastAsia="仿宋_GB2312" w:cs="Times New Roman"/>
          <w:szCs w:val="32"/>
        </w:rPr>
        <w:t>性，加快子牙河滨河公园、水西庄公园</w:t>
      </w:r>
      <w:r>
        <w:rPr>
          <w:rFonts w:hint="eastAsia" w:eastAsia="仿宋_GB2312" w:cs="Times New Roman"/>
          <w:szCs w:val="32"/>
        </w:rPr>
        <w:t>等</w:t>
      </w:r>
      <w:r>
        <w:rPr>
          <w:rFonts w:eastAsia="仿宋_GB2312" w:cs="Times New Roman"/>
          <w:szCs w:val="32"/>
        </w:rPr>
        <w:t>生态项目建设。</w:t>
      </w:r>
    </w:p>
    <w:p>
      <w:pPr>
        <w:pStyle w:val="4"/>
        <w:spacing w:before="120"/>
        <w:ind w:firstLine="640"/>
      </w:pPr>
      <w:bookmarkStart w:id="79" w:name="_Toc66713957"/>
      <w:r>
        <w:rPr>
          <w:rFonts w:hint="eastAsia"/>
        </w:rPr>
        <w:t>（三）加强生态保护监管</w:t>
      </w:r>
      <w:bookmarkEnd w:id="79"/>
    </w:p>
    <w:p>
      <w:pPr>
        <w:pStyle w:val="10"/>
        <w:ind w:firstLine="640"/>
        <w:rPr>
          <w:rFonts w:eastAsia="仿宋_GB2312" w:cs="Times New Roman"/>
          <w:szCs w:val="32"/>
        </w:rPr>
      </w:pPr>
      <w:r>
        <w:rPr>
          <w:rFonts w:hint="eastAsia" w:eastAsia="仿宋_GB2312" w:cs="Times New Roman"/>
          <w:szCs w:val="32"/>
        </w:rPr>
        <w:t>建立以生态保护红线监管为核心的生态保护与修复监管机制，提高各类生态空间综合监管和应急处置能力。发挥人工智能、4G/5G网络等技术优势，开展监控视频自动分析报警、遥感影像自动识别研判、生态风险预警等功能应用。</w:t>
      </w:r>
    </w:p>
    <w:p>
      <w:pPr>
        <w:pStyle w:val="10"/>
        <w:ind w:firstLine="640"/>
        <w:rPr>
          <w:rFonts w:eastAsia="仿宋_GB2312" w:cs="Times New Roman"/>
          <w:szCs w:val="32"/>
        </w:rPr>
      </w:pPr>
      <w:r>
        <w:rPr>
          <w:rFonts w:hint="eastAsia" w:eastAsia="仿宋_GB2312" w:cs="Times New Roman"/>
          <w:szCs w:val="32"/>
        </w:rPr>
        <w:t>持续开展生态保护红线监督检查。加强基层监管监督检查队伍建设。完善社会监督机制，健全生态环境质量公告制度，接受公众等各利益相关方的生态问题举报线索，并向公众统一发布相关信息。</w:t>
      </w:r>
    </w:p>
    <w:p>
      <w:pPr>
        <w:pStyle w:val="3"/>
        <w:ind w:firstLine="640"/>
        <w:rPr>
          <w:b/>
          <w:lang w:val="zh-CN"/>
        </w:rPr>
      </w:pPr>
      <w:bookmarkStart w:id="80" w:name="_Toc66713958"/>
      <w:bookmarkStart w:id="81" w:name="_Toc26269"/>
      <w:bookmarkStart w:id="82" w:name="_Toc8023"/>
      <w:bookmarkStart w:id="83" w:name="_Toc50995132"/>
      <w:bookmarkStart w:id="84" w:name="_Toc50994626"/>
      <w:bookmarkStart w:id="85" w:name="_Toc50994556"/>
      <w:r>
        <w:rPr>
          <w:rFonts w:hint="eastAsia"/>
          <w:lang w:val="zh-CN"/>
        </w:rPr>
        <w:t>七、</w:t>
      </w:r>
      <w:r>
        <w:t>全程管控，加强环境风险防范</w:t>
      </w:r>
      <w:bookmarkEnd w:id="80"/>
    </w:p>
    <w:p>
      <w:pPr>
        <w:pStyle w:val="10"/>
        <w:ind w:firstLine="640"/>
        <w:rPr>
          <w:rFonts w:eastAsia="仿宋_GB2312" w:cs="Times New Roman"/>
          <w:szCs w:val="32"/>
        </w:rPr>
      </w:pPr>
      <w:r>
        <w:rPr>
          <w:rFonts w:hint="eastAsia" w:eastAsia="仿宋_GB2312" w:cs="Times New Roman"/>
          <w:szCs w:val="32"/>
        </w:rPr>
        <w:t>系统构建环境风险源头防控、监控预警、调度指挥、应急处置、常态化管理的全过程以及企业、园区、区域流域多层级的环境风险防范体系，进一步提升环境风险防控能力，遏制重大突发环境事件。</w:t>
      </w:r>
    </w:p>
    <w:p>
      <w:pPr>
        <w:pStyle w:val="4"/>
        <w:spacing w:before="120"/>
        <w:ind w:firstLine="640" w:firstLineChars="0"/>
      </w:pPr>
      <w:bookmarkStart w:id="86" w:name="_Toc66713959"/>
      <w:r>
        <w:rPr>
          <w:rFonts w:hint="eastAsia"/>
          <w:bCs w:val="0"/>
        </w:rPr>
        <w:t>（一）</w:t>
      </w:r>
      <w:r>
        <w:t>加强风险源头防控</w:t>
      </w:r>
      <w:bookmarkEnd w:id="86"/>
    </w:p>
    <w:p>
      <w:pPr>
        <w:pStyle w:val="10"/>
        <w:ind w:firstLine="640"/>
        <w:rPr>
          <w:rFonts w:eastAsia="仿宋_GB2312" w:cs="Times New Roman"/>
          <w:szCs w:val="32"/>
        </w:rPr>
      </w:pPr>
      <w:r>
        <w:rPr>
          <w:rFonts w:hint="eastAsia" w:eastAsia="仿宋_GB2312" w:cs="Times New Roman"/>
          <w:szCs w:val="32"/>
        </w:rPr>
        <w:t>加强环境安全隐患排查治理。实施环境安全隐患分类、分级管理，制定环境安全隐患治理方案，落实整改措施，及时消除隐患。督促和引导企事业单位按照规范有效开展环境安全隐患排查治理。将工作重心由非常态管理拓展到常态管理层面，由应急处置阶段前移至风险管理阶段，对突发环境事件实施全过程管理控制。</w:t>
      </w:r>
    </w:p>
    <w:p>
      <w:pPr>
        <w:pStyle w:val="4"/>
        <w:spacing w:before="120"/>
        <w:ind w:firstLine="640"/>
      </w:pPr>
      <w:bookmarkStart w:id="87" w:name="_Toc66713960"/>
      <w:r>
        <w:rPr>
          <w:rFonts w:hint="eastAsia"/>
        </w:rPr>
        <w:t>（二）强化环境风险评估</w:t>
      </w:r>
      <w:bookmarkEnd w:id="87"/>
    </w:p>
    <w:p>
      <w:pPr>
        <w:pStyle w:val="10"/>
        <w:ind w:firstLine="640"/>
        <w:rPr>
          <w:rFonts w:eastAsia="仿宋_GB2312" w:cs="Times New Roman"/>
          <w:szCs w:val="32"/>
        </w:rPr>
      </w:pPr>
      <w:r>
        <w:rPr>
          <w:rFonts w:hint="eastAsia" w:eastAsia="仿宋_GB2312" w:cs="Times New Roman"/>
          <w:szCs w:val="32"/>
        </w:rPr>
        <w:t>强化环境风险统计分析，建立健全环境风险源数据库、环境应急能力数据库及环境应急预案数据库，对重点环境风险源和应急物资、装备、队伍等能力信息进行集成优化管理。及时掌握区域风险源、敏感目标和应急能力状况，为环境应急管理提供基础数据支撑。</w:t>
      </w:r>
    </w:p>
    <w:p>
      <w:pPr>
        <w:pStyle w:val="4"/>
        <w:spacing w:before="120"/>
        <w:ind w:firstLine="640"/>
      </w:pPr>
      <w:bookmarkStart w:id="88" w:name="_Toc66713961"/>
      <w:r>
        <w:rPr>
          <w:rFonts w:hint="eastAsia"/>
        </w:rPr>
        <w:t>（三）健全预测预警体系</w:t>
      </w:r>
      <w:bookmarkEnd w:id="88"/>
    </w:p>
    <w:p>
      <w:pPr>
        <w:pStyle w:val="10"/>
        <w:ind w:firstLine="640"/>
        <w:rPr>
          <w:rFonts w:eastAsia="仿宋_GB2312" w:cs="Times New Roman"/>
          <w:szCs w:val="32"/>
        </w:rPr>
      </w:pPr>
      <w:r>
        <w:rPr>
          <w:rFonts w:hint="eastAsia" w:eastAsia="仿宋_GB2312" w:cs="Times New Roman"/>
          <w:szCs w:val="32"/>
        </w:rPr>
        <w:t>加快重点区域空气质量自动监测站网络、主要水系重点流域国控和市控水质自动监测网络的建设。配置监测分析设备，提高典型环境问题预警监测能力。建立健全环境应急指挥平台。推动应急信息网络平台建设。加强环境应急信息报告、环境应急管理、在线监测网络、信息化能力建设等有机结合，促进资源共享和整合。加强危化品运输环境风险监控预警。加强环境应急能力建设，提升应急保障水平。建立风险信息研判、报送及预警发布制度体系。</w:t>
      </w:r>
    </w:p>
    <w:p>
      <w:pPr>
        <w:pStyle w:val="4"/>
        <w:spacing w:before="120"/>
        <w:ind w:firstLine="640"/>
      </w:pPr>
      <w:bookmarkStart w:id="89" w:name="_Toc66713962"/>
      <w:r>
        <w:rPr>
          <w:rFonts w:hint="eastAsia"/>
        </w:rPr>
        <w:t>（四）建立</w:t>
      </w:r>
      <w:r>
        <w:t>健全联动机制</w:t>
      </w:r>
      <w:bookmarkEnd w:id="89"/>
    </w:p>
    <w:p>
      <w:pPr>
        <w:pStyle w:val="10"/>
        <w:ind w:firstLine="640"/>
        <w:rPr>
          <w:rFonts w:eastAsia="仿宋_GB2312" w:cs="Times New Roman"/>
          <w:szCs w:val="32"/>
        </w:rPr>
      </w:pPr>
      <w:r>
        <w:rPr>
          <w:rFonts w:hint="eastAsia" w:eastAsia="仿宋_GB2312" w:cs="Times New Roman"/>
          <w:szCs w:val="32"/>
        </w:rPr>
        <w:t>按照检验预案、磨合机制、锻炼队伍、提高能力的原则，持续做好突发事件的应急演练工作。不断锻炼队伍，完善环境风险应急预案，建立健全突发环境事件应急机制。</w:t>
      </w:r>
    </w:p>
    <w:p>
      <w:pPr>
        <w:pStyle w:val="10"/>
        <w:ind w:firstLine="640"/>
        <w:rPr>
          <w:rFonts w:eastAsia="仿宋_GB2312" w:cs="Times New Roman"/>
          <w:szCs w:val="32"/>
        </w:rPr>
      </w:pPr>
      <w:r>
        <w:rPr>
          <w:rFonts w:hint="eastAsia" w:eastAsia="仿宋_GB2312" w:cs="Times New Roman"/>
          <w:szCs w:val="32"/>
        </w:rPr>
        <w:t>健全环境预警应急常态化管理机制，以风险排查、风险评估、预测预警、应急处置、损害评估赔偿为主线，将环境预警应急管理具体职责渗透到环境管理的全过程、全方位，有效串联环境预警应急、项目审批、污控、执法、监测等相关部门，围绕环境预警应急工作互通信息、协调联动、综合应对、形成合力。推进“双跨”联动机制建设，加强跨部门应急协调联动机制建设。</w:t>
      </w:r>
    </w:p>
    <w:p>
      <w:pPr>
        <w:pStyle w:val="3"/>
        <w:ind w:firstLine="640"/>
        <w:rPr>
          <w:lang w:val="zh-CN"/>
        </w:rPr>
      </w:pPr>
      <w:bookmarkStart w:id="90" w:name="_Toc66713963"/>
      <w:r>
        <w:rPr>
          <w:rFonts w:hint="eastAsia"/>
          <w:lang w:val="zh-CN"/>
        </w:rPr>
        <w:t>八、积极推动，构建现代生态环境治理体系</w:t>
      </w:r>
      <w:bookmarkEnd w:id="90"/>
    </w:p>
    <w:bookmarkEnd w:id="81"/>
    <w:bookmarkEnd w:id="82"/>
    <w:bookmarkEnd w:id="83"/>
    <w:bookmarkEnd w:id="84"/>
    <w:bookmarkEnd w:id="85"/>
    <w:p>
      <w:pPr>
        <w:pStyle w:val="10"/>
        <w:ind w:firstLine="640"/>
        <w:rPr>
          <w:rFonts w:eastAsia="仿宋_GB2312" w:cs="Times New Roman"/>
          <w:szCs w:val="32"/>
        </w:rPr>
      </w:pPr>
      <w:r>
        <w:rPr>
          <w:rFonts w:hint="eastAsia" w:eastAsia="仿宋_GB2312" w:cs="Times New Roman"/>
          <w:szCs w:val="32"/>
        </w:rPr>
        <w:t>全面加强党对生态环境保护工作的领导，充分发挥社会治理作用，标本兼治，加快推进生态环境治理体系和治理能力现代化，着力构建政府有为、企业负责、社会监督、市场有效的环境“良治”。</w:t>
      </w:r>
    </w:p>
    <w:p>
      <w:pPr>
        <w:pStyle w:val="4"/>
        <w:spacing w:before="120"/>
        <w:ind w:firstLine="640"/>
      </w:pPr>
      <w:bookmarkStart w:id="91" w:name="_Toc66713964"/>
      <w:r>
        <w:rPr>
          <w:rFonts w:hint="eastAsia"/>
        </w:rPr>
        <w:t>（一）健全生态环境治理体系</w:t>
      </w:r>
      <w:bookmarkEnd w:id="91"/>
    </w:p>
    <w:p>
      <w:pPr>
        <w:pStyle w:val="5"/>
        <w:spacing w:before="120"/>
        <w:ind w:firstLine="643"/>
        <w:rPr>
          <w:b/>
        </w:rPr>
      </w:pPr>
      <w:r>
        <w:rPr>
          <w:rFonts w:hint="eastAsia"/>
          <w:b/>
        </w:rPr>
        <w:t>1、健全领导责任体系</w:t>
      </w:r>
    </w:p>
    <w:p>
      <w:pPr>
        <w:pStyle w:val="10"/>
        <w:ind w:firstLine="640"/>
        <w:rPr>
          <w:rFonts w:eastAsia="仿宋_GB2312" w:cs="Times New Roman"/>
          <w:szCs w:val="32"/>
        </w:rPr>
      </w:pPr>
      <w:r>
        <w:rPr>
          <w:rFonts w:hint="eastAsia" w:eastAsia="仿宋_GB2312" w:cs="Times New Roman"/>
          <w:szCs w:val="32"/>
        </w:rPr>
        <w:t>完善统筹机制，明确权利与责任，合理划分环境保护部门事权。环境保护部门负责制度框架设计，通过规划、计划等做好薄弱领域与环节的引导，实施宏观调控，承担地区环境质量改善的主体责任，保障地区环境安全。采取评价、评估和考核相结合的方式，实行年度评价、中期评估、目标考核，合理设定约束性和预期性目标，促进开展环境质量。</w:t>
      </w:r>
    </w:p>
    <w:p>
      <w:pPr>
        <w:pStyle w:val="10"/>
        <w:ind w:firstLine="640"/>
        <w:rPr>
          <w:rFonts w:eastAsia="仿宋_GB2312" w:cs="Times New Roman"/>
          <w:szCs w:val="32"/>
        </w:rPr>
      </w:pPr>
      <w:r>
        <w:rPr>
          <w:rFonts w:hint="eastAsia" w:eastAsia="仿宋_GB2312" w:cs="Times New Roman"/>
          <w:szCs w:val="32"/>
        </w:rPr>
        <w:t>完善监督机制，按照环境统一监管的基本导向，加强能力建设，实行综合监督。加强环境监管能力建设，建立覆盖大气、地表水、地下水和土壤等所有纳污介质的监管体系。加强环境监察队伍建设，有序整合不同领域、部门和层次的监管力量，有效进行环境监管和行政执法。</w:t>
      </w:r>
    </w:p>
    <w:p>
      <w:pPr>
        <w:pStyle w:val="5"/>
        <w:spacing w:before="120"/>
        <w:ind w:firstLine="643"/>
        <w:rPr>
          <w:b/>
        </w:rPr>
      </w:pPr>
      <w:r>
        <w:rPr>
          <w:rFonts w:hint="eastAsia"/>
          <w:b/>
        </w:rPr>
        <w:t>2、健全企业责任体系</w:t>
      </w:r>
    </w:p>
    <w:p>
      <w:pPr>
        <w:pStyle w:val="10"/>
        <w:ind w:firstLine="640"/>
        <w:rPr>
          <w:rFonts w:eastAsia="仿宋_GB2312" w:cs="Times New Roman"/>
          <w:szCs w:val="32"/>
        </w:rPr>
      </w:pPr>
      <w:r>
        <w:rPr>
          <w:rFonts w:hint="eastAsia" w:eastAsia="仿宋_GB2312" w:cs="Times New Roman"/>
          <w:szCs w:val="32"/>
        </w:rPr>
        <w:t>继续实行排污许可管理制度，强化引导企业按排污许可证规定生产、排污。推进绿色生产，在产品设计、材料选择、生产工艺、生产设备、能源利用、废物产生、售后回收和处理等方面实施绿色生产，合理高效利用资源和保护环境。提高企业治污能力，引导企业实施清洁生产改造，持续打造企业绿色发展引擎，激发企业内在治污动力。鼓励企业定期公开环境治理信息，规范企业真实、客观的披露污染物排放和环境治理等环境信息，接受社会监督。</w:t>
      </w:r>
    </w:p>
    <w:p>
      <w:pPr>
        <w:pStyle w:val="5"/>
        <w:spacing w:before="120"/>
        <w:ind w:firstLine="643"/>
        <w:rPr>
          <w:b/>
        </w:rPr>
      </w:pPr>
      <w:r>
        <w:rPr>
          <w:rFonts w:hint="eastAsia"/>
          <w:b/>
        </w:rPr>
        <w:t>3、健全全民行动体系</w:t>
      </w:r>
    </w:p>
    <w:p>
      <w:pPr>
        <w:pStyle w:val="10"/>
        <w:ind w:firstLine="640"/>
        <w:rPr>
          <w:rFonts w:eastAsia="仿宋_GB2312" w:cs="Times New Roman"/>
          <w:szCs w:val="32"/>
        </w:rPr>
      </w:pPr>
      <w:r>
        <w:rPr>
          <w:rFonts w:hint="eastAsia" w:eastAsia="仿宋_GB2312" w:cs="Times New Roman"/>
          <w:szCs w:val="32"/>
        </w:rPr>
        <w:t>加强环境信息公开，保持公众获取环境信息渠道畅通，保障公众环境知情权。充分公开涉及民生、社会关注度高的环境质量监测、建设项目环评审批、企业污染物排放等重要信息，主动通报环境状况、重要政策措施和突发环境事件。</w:t>
      </w:r>
    </w:p>
    <w:p>
      <w:pPr>
        <w:pStyle w:val="10"/>
        <w:ind w:firstLine="640"/>
        <w:rPr>
          <w:rFonts w:eastAsia="仿宋_GB2312" w:cs="Times New Roman"/>
          <w:szCs w:val="32"/>
        </w:rPr>
      </w:pPr>
      <w:r>
        <w:rPr>
          <w:rFonts w:hint="eastAsia" w:eastAsia="仿宋_GB2312" w:cs="Times New Roman"/>
          <w:szCs w:val="32"/>
        </w:rPr>
        <w:t>优化公众参与环境决策途径，保障公众环境管理参与权。建立沟通协商平台，对于涉及群众利益的环境立法、规划、重大决策和建设项目，广泛听取公众意见和建议。</w:t>
      </w:r>
    </w:p>
    <w:p>
      <w:pPr>
        <w:pStyle w:val="10"/>
        <w:ind w:firstLine="640"/>
        <w:rPr>
          <w:rFonts w:eastAsia="仿宋_GB2312" w:cs="Times New Roman"/>
          <w:szCs w:val="32"/>
        </w:rPr>
      </w:pPr>
      <w:r>
        <w:rPr>
          <w:rFonts w:hint="eastAsia" w:eastAsia="仿宋_GB2312" w:cs="Times New Roman"/>
          <w:szCs w:val="32"/>
        </w:rPr>
        <w:t>鼓励公众采用合法方式，对生态环境保护问题进行举报，加强对政府、企业的监督，保障公众环境监督权。有序推进有奖举报，理顺环境公益诉讼体制机制。提升环境社会舆情引导能力，建立健全公众舆论监督机制。</w:t>
      </w:r>
    </w:p>
    <w:p>
      <w:pPr>
        <w:pStyle w:val="10"/>
        <w:ind w:firstLine="640"/>
        <w:rPr>
          <w:rFonts w:eastAsia="仿宋_GB2312" w:cs="Times New Roman"/>
          <w:szCs w:val="32"/>
        </w:rPr>
      </w:pPr>
      <w:r>
        <w:rPr>
          <w:rFonts w:hint="eastAsia" w:eastAsia="仿宋_GB2312" w:cs="Times New Roman"/>
          <w:szCs w:val="32"/>
        </w:rPr>
        <w:t>培育环境道德体系，构建全民行动格局。开展绿色生活创建活动，全面倡导绿色消费，大力推广低碳生活方式。发展生态环境慈善和救助，全面提升环境保护社会治理方式，使社会公众成为环境维护者、创造者、实践者。</w:t>
      </w:r>
    </w:p>
    <w:p>
      <w:pPr>
        <w:pStyle w:val="5"/>
        <w:spacing w:before="120"/>
        <w:ind w:firstLine="643"/>
        <w:rPr>
          <w:b/>
        </w:rPr>
      </w:pPr>
      <w:r>
        <w:rPr>
          <w:rFonts w:hint="eastAsia"/>
          <w:b/>
        </w:rPr>
        <w:t>4、健全监管体系</w:t>
      </w:r>
    </w:p>
    <w:p>
      <w:pPr>
        <w:pStyle w:val="10"/>
        <w:ind w:firstLine="640"/>
        <w:rPr>
          <w:rFonts w:eastAsia="仿宋_GB2312" w:cs="Times New Roman"/>
          <w:szCs w:val="32"/>
        </w:rPr>
      </w:pPr>
      <w:r>
        <w:rPr>
          <w:rFonts w:hint="eastAsia" w:eastAsia="仿宋_GB2312" w:cs="Times New Roman"/>
          <w:szCs w:val="32"/>
        </w:rPr>
        <w:t>完善监管体制，实施“双随机、一公开”环境监管模式，制定生态监管配套政策，健全生态环境质量公告制度，接受社会公众等各利益相关方的生态问题举报线索，并向社会公众统一发布相关信息。加强司法保障，强化对破坏生态环境违法犯罪行为的查处侦办，加大对破坏生态环境案件起诉力度，加强检察机关提起生态环境公益诉讼工作。</w:t>
      </w:r>
    </w:p>
    <w:p>
      <w:pPr>
        <w:pStyle w:val="5"/>
        <w:spacing w:before="120"/>
        <w:ind w:firstLine="643"/>
        <w:rPr>
          <w:b/>
        </w:rPr>
      </w:pPr>
      <w:r>
        <w:rPr>
          <w:rFonts w:hint="eastAsia"/>
          <w:b/>
        </w:rPr>
        <w:t>5、健全市场体系</w:t>
      </w:r>
    </w:p>
    <w:p>
      <w:pPr>
        <w:pStyle w:val="10"/>
        <w:ind w:firstLine="640"/>
        <w:rPr>
          <w:rFonts w:eastAsia="仿宋_GB2312" w:cs="Times New Roman"/>
          <w:szCs w:val="32"/>
        </w:rPr>
      </w:pPr>
      <w:r>
        <w:rPr>
          <w:rFonts w:hint="eastAsia" w:eastAsia="仿宋_GB2312" w:cs="Times New Roman"/>
          <w:szCs w:val="32"/>
        </w:rPr>
        <w:t>推行工业污染第三方环境治理模式，制定税收政策，拓展融资渠道，明确监管部门、排污企业和环境服务公司的责任和法律关系，推动环境治理市场化建设。健全环保收费和环境价格机制，全面反映市场供求、资源稀缺程度、生态环境损害成本和修复效益，秉持使用资源付费和“谁污染、谁付费”原则。积极引进生态环保产业和相关服务业，促进相关企业集聚发展。</w:t>
      </w:r>
    </w:p>
    <w:p>
      <w:pPr>
        <w:pStyle w:val="5"/>
        <w:spacing w:before="120"/>
        <w:ind w:firstLine="643"/>
        <w:rPr>
          <w:b/>
        </w:rPr>
      </w:pPr>
      <w:r>
        <w:rPr>
          <w:rFonts w:hint="eastAsia"/>
          <w:b/>
        </w:rPr>
        <w:t>6、健全信用体系</w:t>
      </w:r>
    </w:p>
    <w:p>
      <w:pPr>
        <w:pStyle w:val="10"/>
        <w:ind w:firstLine="640"/>
        <w:rPr>
          <w:rFonts w:eastAsia="仿宋_GB2312" w:cs="Times New Roman"/>
          <w:szCs w:val="32"/>
        </w:rPr>
      </w:pPr>
      <w:r>
        <w:rPr>
          <w:rFonts w:hint="eastAsia" w:eastAsia="仿宋_GB2312" w:cs="Times New Roman"/>
          <w:szCs w:val="32"/>
        </w:rPr>
        <w:t>构建环境信用体系，建立健全生态环境领域信用承诺制度、信用查询制度、信用修复制度、联合奖惩制度、分级分类环境信用评价监管制度、红黑名单制度等。加大政务信用信息公开力度，全面落实生态环境领域信息上网公示。</w:t>
      </w:r>
    </w:p>
    <w:p>
      <w:pPr>
        <w:pStyle w:val="10"/>
        <w:ind w:firstLine="640"/>
        <w:rPr>
          <w:rFonts w:eastAsia="仿宋_GB2312" w:cs="Times New Roman"/>
          <w:szCs w:val="32"/>
        </w:rPr>
      </w:pPr>
      <w:r>
        <w:rPr>
          <w:rFonts w:hint="eastAsia" w:eastAsia="仿宋_GB2312" w:cs="Times New Roman"/>
          <w:szCs w:val="32"/>
        </w:rPr>
        <w:t>全面实施信用评价，实施分级信用评价管理，建立诚信档案，实现生态环境领域信用评价全覆盖，组织开展企业环境信用评价结果动态调整，及时跟踪企业环境守（失）信情况，督促企业自觉履行生态环境保护法定义务和社会责任，将信用评价结果应用于“双随机”抽查制度。注重多元联动，健全失信联合惩戒对象认定机制，深入开展失信联合惩戒。</w:t>
      </w:r>
    </w:p>
    <w:p>
      <w:pPr>
        <w:pStyle w:val="5"/>
        <w:spacing w:before="120"/>
        <w:ind w:firstLine="643"/>
        <w:rPr>
          <w:b/>
        </w:rPr>
      </w:pPr>
      <w:r>
        <w:rPr>
          <w:rFonts w:hint="eastAsia"/>
          <w:b/>
        </w:rPr>
        <w:t>7、健全法律政策体系</w:t>
      </w:r>
    </w:p>
    <w:p>
      <w:pPr>
        <w:pStyle w:val="10"/>
        <w:ind w:firstLine="640"/>
        <w:rPr>
          <w:rFonts w:eastAsia="仿宋_GB2312" w:cs="Times New Roman"/>
          <w:szCs w:val="32"/>
        </w:rPr>
      </w:pPr>
      <w:r>
        <w:rPr>
          <w:rFonts w:hint="eastAsia" w:eastAsia="仿宋_GB2312" w:cs="Times New Roman"/>
          <w:szCs w:val="32"/>
        </w:rPr>
        <w:t>实施生态环境污染防治、生态环境监测、环境影响评价、清洁生产等方面的法律法规和标准，积极向法律法规和标准制定部门建言献策，助推完善生态环境法律政策体系。以地方法规为基础，以政府规章为依托，以规范性文件为补充，基本形成大气、地表水、地下水、土壤等方面生态环境法律规范体系，基本搭建生态文明建设制度体系。</w:t>
      </w:r>
    </w:p>
    <w:p>
      <w:pPr>
        <w:pStyle w:val="4"/>
        <w:spacing w:before="120"/>
        <w:ind w:firstLine="640"/>
      </w:pPr>
      <w:bookmarkStart w:id="92" w:name="_Toc66713965"/>
      <w:bookmarkStart w:id="93" w:name="_Toc50994559"/>
      <w:bookmarkStart w:id="94" w:name="_Toc50994629"/>
      <w:bookmarkStart w:id="95" w:name="_Toc15592"/>
      <w:bookmarkStart w:id="96" w:name="_Toc11228"/>
      <w:bookmarkStart w:id="97" w:name="_Toc50995135"/>
      <w:r>
        <w:rPr>
          <w:rFonts w:hint="eastAsia"/>
        </w:rPr>
        <w:t>（二）提升生态环境治理能力</w:t>
      </w:r>
      <w:bookmarkEnd w:id="92"/>
    </w:p>
    <w:p>
      <w:pPr>
        <w:pStyle w:val="5"/>
        <w:spacing w:before="120"/>
        <w:ind w:firstLine="643"/>
        <w:rPr>
          <w:b/>
        </w:rPr>
      </w:pPr>
      <w:r>
        <w:rPr>
          <w:rFonts w:hint="eastAsia"/>
          <w:b/>
        </w:rPr>
        <w:t>1、</w:t>
      </w:r>
      <w:r>
        <w:rPr>
          <w:b/>
        </w:rPr>
        <w:t>提升生态环境</w:t>
      </w:r>
      <w:r>
        <w:rPr>
          <w:rFonts w:hint="eastAsia"/>
          <w:b/>
        </w:rPr>
        <w:t>信息</w:t>
      </w:r>
      <w:r>
        <w:rPr>
          <w:b/>
        </w:rPr>
        <w:t>能力</w:t>
      </w:r>
    </w:p>
    <w:p>
      <w:pPr>
        <w:pStyle w:val="10"/>
        <w:ind w:firstLine="640"/>
        <w:rPr>
          <w:rFonts w:eastAsia="仿宋_GB2312" w:cs="Times New Roman"/>
          <w:szCs w:val="32"/>
        </w:rPr>
      </w:pPr>
      <w:r>
        <w:rPr>
          <w:rFonts w:hint="eastAsia" w:eastAsia="仿宋_GB2312" w:cs="Times New Roman"/>
          <w:szCs w:val="32"/>
        </w:rPr>
        <w:t>提升信息采集能力。完善大气、地表水、地下水、应对气候变化等信息采集网络，围绕生态环境治理体系和治理能力现代化开展数据采集设计，实现环境信息采集、传输和管理的数字化、智能化、网络化。</w:t>
      </w:r>
    </w:p>
    <w:p>
      <w:pPr>
        <w:pStyle w:val="10"/>
        <w:ind w:firstLine="640"/>
        <w:rPr>
          <w:rFonts w:eastAsia="仿宋_GB2312" w:cs="Times New Roman"/>
          <w:szCs w:val="32"/>
        </w:rPr>
      </w:pPr>
      <w:r>
        <w:rPr>
          <w:rFonts w:hint="eastAsia" w:eastAsia="仿宋_GB2312" w:cs="Times New Roman"/>
          <w:szCs w:val="32"/>
        </w:rPr>
        <w:t>提升信息共享能力。实现系统内数据资源整合和动态更新，建设生态环境质量监测、环境污染防治、自然生态保护等基础数据库，消除数据孤岛。拓展吸纳相关部门、企业、行业协会和互联网关联数据，形成环境信息资源中心，实现数据互联互通。以大数据支撑生态环境信息公开、网上一体化办事和综合信息服务，提高公共服务共建能力和共享水平。</w:t>
      </w:r>
    </w:p>
    <w:p>
      <w:pPr>
        <w:pStyle w:val="10"/>
        <w:ind w:firstLine="640"/>
        <w:rPr>
          <w:rFonts w:eastAsia="仿宋_GB2312" w:cs="Times New Roman"/>
          <w:szCs w:val="32"/>
        </w:rPr>
      </w:pPr>
      <w:r>
        <w:rPr>
          <w:rFonts w:hint="eastAsia" w:eastAsia="仿宋_GB2312" w:cs="Times New Roman"/>
          <w:szCs w:val="32"/>
        </w:rPr>
        <w:t>提升信息保障能力。加强大数据运行保障、监控预警能力建设。完善信息化管理专门机构，配备专业的信息技术队伍。建立健全培训制度，提高信息从业人员综合素质和能力水平。</w:t>
      </w:r>
    </w:p>
    <w:p>
      <w:pPr>
        <w:pStyle w:val="5"/>
        <w:spacing w:before="120"/>
        <w:ind w:firstLine="643"/>
        <w:rPr>
          <w:b/>
        </w:rPr>
      </w:pPr>
      <w:r>
        <w:rPr>
          <w:rFonts w:hint="eastAsia"/>
          <w:b/>
        </w:rPr>
        <w:t>2、</w:t>
      </w:r>
      <w:r>
        <w:rPr>
          <w:b/>
        </w:rPr>
        <w:t>提升生态环境监测能力</w:t>
      </w:r>
    </w:p>
    <w:p>
      <w:pPr>
        <w:ind w:firstLine="640"/>
        <w:rPr>
          <w:rFonts w:eastAsia="仿宋_GB2312" w:cs="Times New Roman"/>
          <w:szCs w:val="32"/>
        </w:rPr>
      </w:pPr>
      <w:r>
        <w:t>完</w:t>
      </w:r>
      <w:r>
        <w:rPr>
          <w:rFonts w:eastAsia="仿宋_GB2312" w:cs="Times New Roman"/>
          <w:szCs w:val="32"/>
        </w:rPr>
        <w:t>善</w:t>
      </w:r>
      <w:r>
        <w:rPr>
          <w:rFonts w:hint="eastAsia" w:eastAsia="仿宋_GB2312" w:cs="Times New Roman"/>
          <w:szCs w:val="32"/>
        </w:rPr>
        <w:t>环境质量</w:t>
      </w:r>
      <w:r>
        <w:rPr>
          <w:rFonts w:eastAsia="仿宋_GB2312" w:cs="Times New Roman"/>
          <w:szCs w:val="32"/>
        </w:rPr>
        <w:t>监测网络</w:t>
      </w:r>
      <w:r>
        <w:rPr>
          <w:rFonts w:hint="eastAsia" w:eastAsia="仿宋_GB2312" w:cs="Times New Roman"/>
          <w:szCs w:val="32"/>
        </w:rPr>
        <w:t>。建成各环境要素统筹、标准规范统一、天地一体、上下协同、信息共享、覆盖全面的全区生态环境监测网络。在重点水域建设水质自动监测站，加强水生生物监测能力建设。建立土壤环境监测基础数据库，构建土壤环境监测信息化管理平台。到2025年</w:t>
      </w:r>
      <w:r>
        <w:rPr>
          <w:rFonts w:eastAsia="仿宋_GB2312" w:cs="Times New Roman"/>
          <w:szCs w:val="32"/>
        </w:rPr>
        <w:t>，</w:t>
      </w:r>
      <w:r>
        <w:rPr>
          <w:rFonts w:hint="eastAsia" w:eastAsia="仿宋_GB2312" w:cs="Times New Roman"/>
          <w:szCs w:val="32"/>
        </w:rPr>
        <w:t>实现土壤环境质量监测点位全覆盖。加强生态监测系统建设。</w:t>
      </w:r>
    </w:p>
    <w:p>
      <w:pPr>
        <w:pStyle w:val="10"/>
        <w:ind w:firstLine="640"/>
        <w:rPr>
          <w:rFonts w:eastAsia="仿宋_GB2312" w:cs="Times New Roman"/>
          <w:szCs w:val="32"/>
        </w:rPr>
      </w:pPr>
      <w:r>
        <w:rPr>
          <w:rFonts w:hint="eastAsia" w:eastAsia="仿宋_GB2312" w:cs="Times New Roman"/>
          <w:szCs w:val="32"/>
        </w:rPr>
        <w:t>完善重点污染源监测网络。完善人工与自动相结合的污染源监控体系，扩大污染源自动监控网络范围。加强重点产业典型特征污染物如挥发性有机物、重金属等监测能力建设；开展建筑工地、施工堆场扬尘污染在线监测；加强面源、移动源的监测与统计；全面推进排污企业自行监测及信息公开。</w:t>
      </w:r>
    </w:p>
    <w:p>
      <w:pPr>
        <w:pStyle w:val="10"/>
        <w:ind w:firstLine="640"/>
        <w:rPr>
          <w:rFonts w:eastAsia="仿宋_GB2312" w:cs="Times New Roman"/>
          <w:szCs w:val="32"/>
        </w:rPr>
      </w:pPr>
      <w:r>
        <w:rPr>
          <w:rFonts w:eastAsia="仿宋_GB2312" w:cs="Times New Roman"/>
          <w:szCs w:val="32"/>
        </w:rPr>
        <w:t>完善生态监测系统</w:t>
      </w:r>
      <w:r>
        <w:rPr>
          <w:rFonts w:hint="eastAsia" w:eastAsia="仿宋_GB2312" w:cs="Times New Roman"/>
          <w:szCs w:val="32"/>
        </w:rPr>
        <w:t>。开展生态状况监测、调查与评估，强化天地一体化的生态遥感监测系统应用，加强无人机遥感监测和地面生态监测。</w:t>
      </w:r>
    </w:p>
    <w:p>
      <w:pPr>
        <w:ind w:firstLine="640"/>
        <w:rPr>
          <w:rFonts w:eastAsia="仿宋_GB2312" w:cs="Times New Roman"/>
          <w:szCs w:val="32"/>
        </w:rPr>
      </w:pPr>
      <w:r>
        <w:rPr>
          <w:rFonts w:eastAsia="仿宋_GB2312" w:cs="Times New Roman"/>
          <w:szCs w:val="32"/>
        </w:rPr>
        <w:t>加强温室气体统计核算监测能力</w:t>
      </w:r>
      <w:r>
        <w:rPr>
          <w:rFonts w:hint="eastAsia" w:eastAsia="仿宋_GB2312" w:cs="Times New Roman"/>
          <w:szCs w:val="32"/>
        </w:rPr>
        <w:t>。完善区域温室气体排放数据收集管理机制，</w:t>
      </w:r>
      <w:r>
        <w:rPr>
          <w:rFonts w:eastAsia="仿宋_GB2312" w:cs="Times New Roman"/>
          <w:szCs w:val="32"/>
        </w:rPr>
        <w:t>推动污染排放与温室气体清单一体化协同编制。探索开展城市温室气体浓度监测。</w:t>
      </w:r>
      <w:r>
        <w:rPr>
          <w:rFonts w:hint="eastAsia" w:eastAsia="仿宋_GB2312" w:cs="Times New Roman"/>
          <w:szCs w:val="32"/>
        </w:rPr>
        <w:t>鼓励重点排放单位开展碳盘查和碳披露。</w:t>
      </w:r>
    </w:p>
    <w:p>
      <w:pPr>
        <w:pStyle w:val="5"/>
        <w:spacing w:before="120"/>
        <w:ind w:firstLine="643"/>
        <w:rPr>
          <w:b/>
        </w:rPr>
      </w:pPr>
      <w:r>
        <w:rPr>
          <w:rFonts w:hint="eastAsia"/>
          <w:b/>
        </w:rPr>
        <w:t>3、</w:t>
      </w:r>
      <w:r>
        <w:rPr>
          <w:b/>
        </w:rPr>
        <w:t>提升生态环境</w:t>
      </w:r>
      <w:r>
        <w:rPr>
          <w:rFonts w:hint="eastAsia"/>
          <w:b/>
        </w:rPr>
        <w:t>执法</w:t>
      </w:r>
      <w:r>
        <w:rPr>
          <w:b/>
        </w:rPr>
        <w:t>能力</w:t>
      </w:r>
    </w:p>
    <w:bookmarkEnd w:id="93"/>
    <w:bookmarkEnd w:id="94"/>
    <w:bookmarkEnd w:id="95"/>
    <w:bookmarkEnd w:id="96"/>
    <w:bookmarkEnd w:id="97"/>
    <w:p>
      <w:pPr>
        <w:ind w:firstLine="640"/>
        <w:rPr>
          <w:rFonts w:eastAsia="仿宋_GB2312" w:cs="Times New Roman"/>
          <w:szCs w:val="32"/>
        </w:rPr>
      </w:pPr>
      <w:r>
        <w:rPr>
          <w:rFonts w:hint="eastAsia" w:eastAsia="仿宋_GB2312" w:cs="Times New Roman"/>
          <w:szCs w:val="32"/>
        </w:rPr>
        <w:t>突出党建引领。以习近平新时代中国特色社会主义思想为引领，把加强生态环境保护作为重大政治任务，多措并举提升思想“向心力”，统一执法思想。</w:t>
      </w:r>
    </w:p>
    <w:p>
      <w:pPr>
        <w:ind w:firstLine="640"/>
        <w:rPr>
          <w:rFonts w:eastAsia="仿宋_GB2312" w:cs="Times New Roman"/>
          <w:szCs w:val="32"/>
        </w:rPr>
      </w:pPr>
      <w:r>
        <w:rPr>
          <w:rFonts w:hint="eastAsia" w:eastAsia="仿宋_GB2312" w:cs="Times New Roman"/>
          <w:szCs w:val="32"/>
        </w:rPr>
        <w:t>提升科技水平。充分运用走航、卫星遥感、无人机巡查、无人船声呐扫描等高效监测侦查手段，提升精准化、精细化执法和检查能力。强化技能执法培训，拓宽执法思路，创建学习型环境执法队伍，提高环境执法效能。</w:t>
      </w:r>
    </w:p>
    <w:p>
      <w:pPr>
        <w:ind w:firstLine="640"/>
        <w:rPr>
          <w:rFonts w:eastAsia="仿宋_GB2312" w:cs="Times New Roman"/>
          <w:szCs w:val="32"/>
        </w:rPr>
      </w:pPr>
      <w:r>
        <w:rPr>
          <w:rFonts w:hint="eastAsia" w:eastAsia="仿宋_GB2312" w:cs="Times New Roman"/>
          <w:szCs w:val="32"/>
        </w:rPr>
        <w:t>提升机制合力。生态环境执法主动对接河湖长制、网格化管理等环境监管机制，共享信息联合执法，形成生态环境执法合力，营造对生态环境违法行为的高压态势和有效震慑，助力辖区生态环境各项工作有序推进。</w:t>
      </w:r>
    </w:p>
    <w:p>
      <w:pPr>
        <w:ind w:firstLine="640"/>
        <w:rPr>
          <w:rFonts w:eastAsia="仿宋_GB2312" w:cs="Times New Roman"/>
          <w:szCs w:val="32"/>
        </w:rPr>
      </w:pPr>
      <w:r>
        <w:rPr>
          <w:rFonts w:hint="eastAsia" w:eastAsia="仿宋_GB2312" w:cs="Times New Roman"/>
          <w:szCs w:val="32"/>
        </w:rPr>
        <w:t>树立执法新形象。以提升公信力为重点，实现规范执法、精确执法、效能执法。持续坚持深化“双随机、一公开”监管机制，提升环境执法的执行力。</w:t>
      </w:r>
    </w:p>
    <w:p>
      <w:pPr>
        <w:pStyle w:val="5"/>
        <w:spacing w:before="120"/>
        <w:ind w:firstLine="643"/>
        <w:rPr>
          <w:b/>
        </w:rPr>
      </w:pPr>
      <w:r>
        <w:rPr>
          <w:rFonts w:hint="eastAsia"/>
          <w:b/>
        </w:rPr>
        <w:t>4、</w:t>
      </w:r>
      <w:r>
        <w:rPr>
          <w:b/>
        </w:rPr>
        <w:t>提升生态环境宣教能力</w:t>
      </w:r>
    </w:p>
    <w:p>
      <w:pPr>
        <w:ind w:firstLine="640"/>
        <w:rPr>
          <w:rFonts w:eastAsia="仿宋_GB2312" w:cs="Times New Roman"/>
          <w:szCs w:val="32"/>
        </w:rPr>
      </w:pPr>
      <w:r>
        <w:rPr>
          <w:rFonts w:hint="eastAsia" w:eastAsia="仿宋_GB2312" w:cs="Times New Roman"/>
          <w:szCs w:val="32"/>
        </w:rPr>
        <w:t>强化生态文明宣教载体建设，收集研判环保热点舆情，形成稳定的环境信息发布窗口和环保宣传教育阵地。扩大环境新闻主流渠道传播影响，推进宣教形式多样化，推进新兴媒体应用，建立新兴媒体与传统媒体互动机制。</w:t>
      </w:r>
    </w:p>
    <w:p>
      <w:pPr>
        <w:pStyle w:val="10"/>
        <w:ind w:firstLine="640"/>
        <w:rPr>
          <w:rFonts w:eastAsia="仿宋_GB2312" w:cs="Times New Roman"/>
          <w:szCs w:val="32"/>
        </w:rPr>
      </w:pPr>
      <w:r>
        <w:rPr>
          <w:rFonts w:hint="eastAsia" w:eastAsia="仿宋_GB2312" w:cs="Times New Roman"/>
          <w:szCs w:val="32"/>
        </w:rPr>
        <w:t>开展各领域环保主题宣传活动环境，创建环境友好型学校、幼儿园、社区，组织社区参加环保公益主题活动，推动形成绿色低碳发展方式和生活方式。</w:t>
      </w:r>
    </w:p>
    <w:p>
      <w:pPr>
        <w:ind w:firstLine="640"/>
        <w:rPr>
          <w:rFonts w:eastAsia="仿宋_GB2312" w:cs="Times New Roman"/>
          <w:szCs w:val="32"/>
        </w:rPr>
      </w:pPr>
      <w:r>
        <w:rPr>
          <w:rFonts w:hint="eastAsia" w:eastAsia="仿宋_GB2312" w:cs="Times New Roman"/>
          <w:szCs w:val="32"/>
        </w:rPr>
        <w:t>加强应急管理科普宣教工作，引导公众参与，提高社会公众对环境风险防范的认知和应对突发环境事件能力，全面普及预防、避险、自救、互救、减灾等知识和技能。加强企业环境安全主体责任宣传教育，加大对环境风险防范、环境应急预案、环境应急处置等方面法律法规的宣传与普及。</w:t>
      </w:r>
    </w:p>
    <w:p>
      <w:pPr>
        <w:pStyle w:val="5"/>
        <w:spacing w:before="120"/>
        <w:ind w:firstLine="643"/>
        <w:rPr>
          <w:b/>
        </w:rPr>
      </w:pPr>
      <w:r>
        <w:rPr>
          <w:rFonts w:hint="eastAsia"/>
          <w:b/>
        </w:rPr>
        <w:t>5、</w:t>
      </w:r>
      <w:r>
        <w:rPr>
          <w:b/>
        </w:rPr>
        <w:t>提升生态环境应急能力</w:t>
      </w:r>
    </w:p>
    <w:p>
      <w:pPr>
        <w:ind w:firstLine="640"/>
        <w:rPr>
          <w:rFonts w:eastAsia="仿宋_GB2312" w:cs="Times New Roman"/>
          <w:szCs w:val="32"/>
        </w:rPr>
      </w:pPr>
      <w:r>
        <w:rPr>
          <w:rFonts w:hint="eastAsia" w:eastAsia="仿宋_GB2312" w:cs="Times New Roman"/>
          <w:szCs w:val="32"/>
        </w:rPr>
        <w:t>完善环境应急管理机构体系。建立健全环境应急管理机构建设标准，明确规定各级环境保护部门的应急管理机构定位、职责，确定各级环境应急管理机构建设基本内容与规模。</w:t>
      </w:r>
    </w:p>
    <w:p>
      <w:pPr>
        <w:ind w:firstLine="640"/>
        <w:rPr>
          <w:rFonts w:eastAsia="仿宋_GB2312" w:cs="Times New Roman"/>
          <w:szCs w:val="32"/>
        </w:rPr>
      </w:pPr>
      <w:r>
        <w:rPr>
          <w:rFonts w:hint="eastAsia" w:eastAsia="仿宋_GB2312" w:cs="Times New Roman"/>
          <w:szCs w:val="32"/>
        </w:rPr>
        <w:t>强化应急救援队伍建设。建立政府主导的专职环境应急救援队伍、企业专项环境应急救援队伍、市场化环境应急救援队伍相结合的应急救援体系，提高全社会环境应急救援能力。健全环境应急专家库管理，加强风险控制，环境损害鉴定评估、污染修复等领域专家配备，建立专家快速响应机制。</w:t>
      </w:r>
    </w:p>
    <w:p>
      <w:pPr>
        <w:ind w:firstLine="640"/>
        <w:rPr>
          <w:rFonts w:eastAsia="仿宋_GB2312" w:cs="Times New Roman"/>
          <w:szCs w:val="32"/>
        </w:rPr>
        <w:sectPr>
          <w:pgSz w:w="11906" w:h="16838"/>
          <w:pgMar w:top="1440" w:right="1797" w:bottom="1440" w:left="1797" w:header="851" w:footer="992" w:gutter="0"/>
          <w:cols w:space="425" w:num="1"/>
          <w:docGrid w:linePitch="312" w:charSpace="0"/>
        </w:sectPr>
      </w:pPr>
      <w:r>
        <w:rPr>
          <w:rFonts w:hint="eastAsia" w:eastAsia="仿宋_GB2312" w:cs="Times New Roman"/>
          <w:szCs w:val="32"/>
        </w:rPr>
        <w:t>提高环境应急综合保障能力，完善应急物资装备，推进应急能力标准化建设。探索研究环境应急物资装备社会化保障模式，提高环境应急技术支撑能力，加强环境应急基础性研究。</w:t>
      </w:r>
    </w:p>
    <w:p>
      <w:pPr>
        <w:pStyle w:val="2"/>
        <w:adjustRightInd w:val="0"/>
        <w:snapToGrid w:val="0"/>
        <w:spacing w:before="0" w:after="0" w:line="360" w:lineRule="auto"/>
        <w:ind w:firstLine="0" w:firstLineChars="0"/>
        <w:jc w:val="center"/>
        <w:rPr>
          <w:rFonts w:eastAsia="黑体" w:cs="Times New Roman"/>
          <w:sz w:val="36"/>
          <w:szCs w:val="36"/>
        </w:rPr>
      </w:pPr>
      <w:bookmarkStart w:id="98" w:name="_Toc66713966"/>
      <w:r>
        <w:rPr>
          <w:rFonts w:eastAsia="黑体" w:cs="Times New Roman"/>
          <w:sz w:val="36"/>
          <w:szCs w:val="36"/>
        </w:rPr>
        <w:t>第</w:t>
      </w:r>
      <w:r>
        <w:rPr>
          <w:rFonts w:hint="eastAsia" w:eastAsia="黑体" w:cs="Times New Roman"/>
          <w:sz w:val="36"/>
          <w:szCs w:val="36"/>
        </w:rPr>
        <w:t>四</w:t>
      </w:r>
      <w:r>
        <w:rPr>
          <w:rFonts w:eastAsia="黑体" w:cs="Times New Roman"/>
          <w:sz w:val="36"/>
          <w:szCs w:val="36"/>
        </w:rPr>
        <w:t xml:space="preserve">章  </w:t>
      </w:r>
      <w:r>
        <w:rPr>
          <w:rFonts w:hint="eastAsia" w:eastAsia="黑体" w:cs="Times New Roman"/>
          <w:sz w:val="36"/>
          <w:szCs w:val="36"/>
        </w:rPr>
        <w:t>重点工程项目</w:t>
      </w:r>
      <w:bookmarkEnd w:id="98"/>
    </w:p>
    <w:p>
      <w:pPr>
        <w:ind w:firstLine="640"/>
        <w:rPr>
          <w:rFonts w:eastAsia="仿宋_GB2312" w:cs="Times New Roman"/>
          <w:szCs w:val="32"/>
        </w:rPr>
      </w:pPr>
      <w:r>
        <w:rPr>
          <w:rFonts w:hint="eastAsia" w:eastAsia="仿宋_GB2312" w:cs="Times New Roman"/>
          <w:szCs w:val="32"/>
        </w:rPr>
        <w:t>将生态环境保护管理思路从达标排放、总量控制向质量改善核心转变，质量、总量、风险防控协同推进，多污染物协同治理。以解决突出生态环境问题、改善环境质量为导向，把握合理可行、绩效明确以及可监测、可统计、可考核的原则，落实规划重点任务，确定重大工程项目。确保项目实施对污染减排或生态环境自净能力提升有直接贡献；确保项目技术路线科学，核心工艺成熟，建成</w:t>
      </w:r>
      <w:r>
        <w:rPr>
          <w:rFonts w:eastAsia="仿宋_GB2312" w:cs="Times New Roman"/>
          <w:szCs w:val="32"/>
        </w:rPr>
        <w:t>后能够持续稳定运行，</w:t>
      </w:r>
      <w:r>
        <w:rPr>
          <w:rFonts w:hint="eastAsia" w:eastAsia="仿宋_GB2312" w:cs="Times New Roman"/>
          <w:szCs w:val="32"/>
        </w:rPr>
        <w:t>发挥</w:t>
      </w:r>
      <w:r>
        <w:rPr>
          <w:rFonts w:eastAsia="仿宋_GB2312" w:cs="Times New Roman"/>
          <w:szCs w:val="32"/>
        </w:rPr>
        <w:t>污染物减排、实现</w:t>
      </w:r>
      <w:r>
        <w:rPr>
          <w:rFonts w:hint="eastAsia" w:eastAsia="仿宋_GB2312" w:cs="Times New Roman"/>
          <w:szCs w:val="32"/>
        </w:rPr>
        <w:t>良好</w:t>
      </w:r>
      <w:r>
        <w:rPr>
          <w:rFonts w:eastAsia="仿宋_GB2312" w:cs="Times New Roman"/>
          <w:szCs w:val="32"/>
        </w:rPr>
        <w:t>生态环境效益、增强生态产品生产能力的作用。</w:t>
      </w:r>
    </w:p>
    <w:p>
      <w:pPr>
        <w:ind w:firstLine="640"/>
        <w:rPr>
          <w:rFonts w:eastAsia="仿宋_GB2312" w:cs="Times New Roman"/>
          <w:szCs w:val="32"/>
        </w:rPr>
      </w:pPr>
      <w:r>
        <w:rPr>
          <w:rFonts w:hint="eastAsia" w:eastAsia="仿宋_GB2312" w:cs="Times New Roman"/>
          <w:szCs w:val="32"/>
        </w:rPr>
        <w:t>具体工程项目见附表。</w:t>
      </w:r>
    </w:p>
    <w:p>
      <w:pPr>
        <w:adjustRightInd w:val="0"/>
        <w:snapToGrid w:val="0"/>
        <w:ind w:firstLine="640"/>
        <w:rPr>
          <w:rFonts w:eastAsia="仿宋_GB2312" w:cs="Times New Roman"/>
          <w:szCs w:val="32"/>
        </w:rPr>
      </w:pPr>
    </w:p>
    <w:p>
      <w:pPr>
        <w:adjustRightInd w:val="0"/>
        <w:snapToGrid w:val="0"/>
        <w:ind w:firstLine="640"/>
        <w:rPr>
          <w:rFonts w:eastAsia="仿宋_GB2312" w:cs="Times New Roman"/>
          <w:szCs w:val="32"/>
        </w:rPr>
        <w:sectPr>
          <w:pgSz w:w="11906" w:h="16838"/>
          <w:pgMar w:top="1440" w:right="1797" w:bottom="1440" w:left="1797" w:header="851" w:footer="992" w:gutter="0"/>
          <w:cols w:space="425" w:num="1"/>
          <w:docGrid w:linePitch="312" w:charSpace="0"/>
        </w:sectPr>
      </w:pPr>
    </w:p>
    <w:p>
      <w:pPr>
        <w:pStyle w:val="2"/>
        <w:adjustRightInd w:val="0"/>
        <w:snapToGrid w:val="0"/>
        <w:spacing w:before="0" w:after="0" w:line="360" w:lineRule="auto"/>
        <w:ind w:firstLine="0" w:firstLineChars="0"/>
        <w:jc w:val="center"/>
        <w:rPr>
          <w:rFonts w:eastAsia="黑体" w:cs="Times New Roman"/>
          <w:sz w:val="36"/>
          <w:szCs w:val="36"/>
        </w:rPr>
      </w:pPr>
      <w:bookmarkStart w:id="99" w:name="_Toc66713967"/>
      <w:r>
        <w:rPr>
          <w:rFonts w:hint="eastAsia" w:eastAsia="黑体" w:cs="Times New Roman"/>
          <w:sz w:val="36"/>
          <w:szCs w:val="36"/>
        </w:rPr>
        <w:t>第五章  保障措施</w:t>
      </w:r>
      <w:bookmarkEnd w:id="99"/>
    </w:p>
    <w:p>
      <w:pPr>
        <w:pStyle w:val="3"/>
        <w:ind w:firstLine="640"/>
        <w:rPr>
          <w:lang w:val="zh-CN"/>
        </w:rPr>
      </w:pPr>
      <w:bookmarkStart w:id="100" w:name="_Toc66713968"/>
      <w:r>
        <w:rPr>
          <w:rFonts w:hint="eastAsia"/>
          <w:lang w:val="zh-CN"/>
        </w:rPr>
        <w:t>一、加强组织领导</w:t>
      </w:r>
      <w:bookmarkEnd w:id="100"/>
    </w:p>
    <w:p>
      <w:pPr>
        <w:ind w:firstLine="640"/>
        <w:rPr>
          <w:rFonts w:eastAsia="仿宋_GB2312" w:cs="Times New Roman"/>
          <w:szCs w:val="32"/>
        </w:rPr>
      </w:pPr>
      <w:r>
        <w:rPr>
          <w:rFonts w:hint="eastAsia" w:eastAsia="仿宋_GB2312" w:cs="Times New Roman"/>
          <w:szCs w:val="32"/>
        </w:rPr>
        <w:t>落实党政主体责任，落实领导干部生态文明建设责任制，严格实行党政同责、一岗双责。制定责任清单，任务分解落实到具体部门。扎实推动中央和市生态环境环保督查反馈问题整改落地见效。严格考核问责，对生态环境保护年度工作目标任务完成情况、生态环境质量状况、资金投入使用情况、公众满意程度等相关方面开展考核，考核结果作为综合考核评价、奖惩任免的重要依据。实施生态环境责任终身追究制。</w:t>
      </w:r>
    </w:p>
    <w:p>
      <w:pPr>
        <w:pStyle w:val="3"/>
        <w:ind w:firstLine="640"/>
        <w:rPr>
          <w:lang w:val="zh-CN"/>
        </w:rPr>
      </w:pPr>
      <w:bookmarkStart w:id="101" w:name="_Toc66713969"/>
      <w:r>
        <w:rPr>
          <w:rFonts w:hint="eastAsia"/>
          <w:lang w:val="zh-CN"/>
        </w:rPr>
        <w:t>二、增进统筹协调</w:t>
      </w:r>
      <w:bookmarkEnd w:id="101"/>
    </w:p>
    <w:p>
      <w:pPr>
        <w:ind w:firstLine="640"/>
        <w:rPr>
          <w:rFonts w:eastAsia="仿宋_GB2312" w:cs="Times New Roman"/>
          <w:szCs w:val="32"/>
        </w:rPr>
      </w:pPr>
      <w:r>
        <w:rPr>
          <w:rFonts w:hint="eastAsia" w:eastAsia="仿宋_GB2312" w:cs="Times New Roman"/>
          <w:szCs w:val="32"/>
        </w:rPr>
        <w:t>积极做好上下衔接、左右协调、统筹推动，充分发挥牵头单位统筹推动、牵头捏总作用，各相关责任单位认真抓好各项工作落实，做好规划重要任务、重点工程进度定期调度推动工作，统筹协调解决规划实施过程中存在困难问题。主动融入京津冀协同发展部署之中，增强区域信息共享、沟通交流力度，着力增强区域联防联控联治工作能力水平。</w:t>
      </w:r>
    </w:p>
    <w:p>
      <w:pPr>
        <w:pStyle w:val="3"/>
        <w:ind w:firstLine="640"/>
        <w:rPr>
          <w:lang w:val="zh-CN"/>
        </w:rPr>
      </w:pPr>
      <w:bookmarkStart w:id="102" w:name="_Toc66713970"/>
      <w:r>
        <w:rPr>
          <w:rFonts w:hint="eastAsia"/>
          <w:lang w:val="zh-CN"/>
        </w:rPr>
        <w:t>三、强化科技支撑</w:t>
      </w:r>
      <w:bookmarkEnd w:id="102"/>
    </w:p>
    <w:p>
      <w:pPr>
        <w:ind w:firstLine="640"/>
        <w:rPr>
          <w:rFonts w:eastAsia="仿宋_GB2312" w:cs="Times New Roman"/>
          <w:szCs w:val="32"/>
        </w:rPr>
      </w:pPr>
      <w:r>
        <w:rPr>
          <w:rFonts w:hint="eastAsia" w:eastAsia="仿宋_GB2312" w:cs="Times New Roman"/>
          <w:szCs w:val="32"/>
        </w:rPr>
        <w:t>发挥科技的支撑保障作用，建设生态环境战略实施的科技支撑体系。加强基础研究和前沿技术研究，培养跨领域的科学家及其团队。加快建立以企业为主体、市场为导向、产学研相结合的技术创新体系，环境技术研发与实际问题相结合，切实发挥科技在环境保护中的作用。</w:t>
      </w:r>
    </w:p>
    <w:p>
      <w:pPr>
        <w:pStyle w:val="3"/>
        <w:ind w:firstLine="640"/>
        <w:rPr>
          <w:lang w:val="zh-CN"/>
        </w:rPr>
      </w:pPr>
      <w:bookmarkStart w:id="103" w:name="_Toc66713971"/>
      <w:r>
        <w:rPr>
          <w:rFonts w:hint="eastAsia"/>
          <w:lang w:val="zh-CN"/>
        </w:rPr>
        <w:t>四、加大资金投入</w:t>
      </w:r>
      <w:bookmarkEnd w:id="103"/>
    </w:p>
    <w:p>
      <w:pPr>
        <w:ind w:firstLine="640"/>
        <w:rPr>
          <w:rFonts w:eastAsia="仿宋_GB2312" w:cs="Times New Roman"/>
          <w:szCs w:val="32"/>
        </w:rPr>
      </w:pPr>
      <w:r>
        <w:rPr>
          <w:rFonts w:hint="eastAsia" w:eastAsia="仿宋_GB2312" w:cs="Times New Roman"/>
          <w:szCs w:val="32"/>
        </w:rPr>
        <w:t>加大生态环境的财政资金投入，完善相关财税政策，建立完善的环保财政预算制度，开展年度环保预算资金安排，确保预算资金及时下达。建立长期、稳定的资金投入机制，积极引进外资，多层次、多渠道、多途径、多种经济成分共同筹措资金，提高环保投资效率，为环境保护各项工作的顺利开展提供资金保障。</w:t>
      </w:r>
    </w:p>
    <w:p>
      <w:pPr>
        <w:adjustRightInd w:val="0"/>
        <w:snapToGrid w:val="0"/>
        <w:ind w:firstLine="640"/>
        <w:rPr>
          <w:rFonts w:eastAsia="仿宋_GB2312" w:cs="Times New Roman"/>
          <w:szCs w:val="32"/>
        </w:rPr>
      </w:pPr>
    </w:p>
    <w:p>
      <w:pPr>
        <w:adjustRightInd w:val="0"/>
        <w:snapToGrid w:val="0"/>
        <w:ind w:firstLine="640"/>
        <w:rPr>
          <w:rFonts w:eastAsia="仿宋_GB2312" w:cs="Times New Roman"/>
          <w:szCs w:val="32"/>
        </w:rPr>
      </w:pPr>
    </w:p>
    <w:p>
      <w:pPr>
        <w:adjustRightInd w:val="0"/>
        <w:snapToGrid w:val="0"/>
        <w:ind w:firstLine="640"/>
        <w:rPr>
          <w:rFonts w:cs="Times New Roman"/>
        </w:rPr>
      </w:pPr>
    </w:p>
    <w:p>
      <w:pPr>
        <w:pStyle w:val="10"/>
        <w:ind w:firstLine="640"/>
        <w:sectPr>
          <w:pgSz w:w="11906" w:h="16838"/>
          <w:pgMar w:top="1440" w:right="1797" w:bottom="1440" w:left="1797" w:header="851" w:footer="992" w:gutter="0"/>
          <w:cols w:space="425" w:num="1"/>
          <w:docGrid w:linePitch="312" w:charSpace="0"/>
        </w:sectPr>
      </w:pPr>
    </w:p>
    <w:p>
      <w:pPr>
        <w:adjustRightInd w:val="0"/>
        <w:snapToGrid w:val="0"/>
        <w:ind w:firstLine="0" w:firstLineChars="0"/>
        <w:outlineLvl w:val="0"/>
        <w:rPr>
          <w:rFonts w:eastAsia="黑体"/>
          <w:szCs w:val="32"/>
        </w:rPr>
      </w:pPr>
      <w:bookmarkStart w:id="104" w:name="_Toc66713972"/>
      <w:r>
        <w:rPr>
          <w:rFonts w:eastAsia="黑体"/>
          <w:szCs w:val="32"/>
        </w:rPr>
        <w:t>附表</w:t>
      </w:r>
      <w:r>
        <w:rPr>
          <w:rFonts w:hint="eastAsia" w:eastAsia="黑体"/>
          <w:szCs w:val="32"/>
        </w:rPr>
        <w:t xml:space="preserve"> </w:t>
      </w:r>
      <w:r>
        <w:rPr>
          <w:rFonts w:eastAsia="黑体"/>
          <w:szCs w:val="32"/>
        </w:rPr>
        <w:t xml:space="preserve"> </w:t>
      </w:r>
      <w:r>
        <w:rPr>
          <w:rFonts w:hint="eastAsia" w:eastAsia="黑体"/>
          <w:szCs w:val="32"/>
        </w:rPr>
        <w:t>“十四五”时期</w:t>
      </w:r>
      <w:r>
        <w:rPr>
          <w:rFonts w:hint="eastAsia" w:ascii="方正小标宋简体" w:hAnsi="黑体" w:eastAsia="方正小标宋简体"/>
        </w:rPr>
        <w:t>红桥区生态与环境保护重点工程项目</w:t>
      </w:r>
      <w:bookmarkEnd w:id="104"/>
    </w:p>
    <w:p>
      <w:pPr>
        <w:ind w:firstLine="0" w:firstLineChars="0"/>
        <w:jc w:val="center"/>
        <w:rPr>
          <w:rFonts w:eastAsia="方正小标宋简体"/>
          <w:sz w:val="30"/>
          <w:szCs w:val="30"/>
        </w:rPr>
      </w:pPr>
      <w:r>
        <w:rPr>
          <w:rFonts w:hint="eastAsia" w:eastAsia="方正小标宋简体"/>
          <w:sz w:val="30"/>
          <w:szCs w:val="30"/>
        </w:rPr>
        <w:t>“十四五”时期红桥区生态与环境保护重点工程项目表</w:t>
      </w:r>
    </w:p>
    <w:tbl>
      <w:tblPr>
        <w:tblStyle w:val="26"/>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77"/>
        <w:gridCol w:w="5065"/>
        <w:gridCol w:w="2359"/>
        <w:gridCol w:w="212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jc w:val="center"/>
        </w:trPr>
        <w:tc>
          <w:tcPr>
            <w:tcW w:w="788" w:type="pct"/>
            <w:gridSpan w:val="2"/>
            <w:shd w:val="clear" w:color="auto" w:fill="auto"/>
            <w:vAlign w:val="center"/>
          </w:tcPr>
          <w:p>
            <w:pPr>
              <w:widowControl/>
              <w:adjustRightInd w:val="0"/>
              <w:snapToGrid w:val="0"/>
              <w:spacing w:line="240" w:lineRule="auto"/>
              <w:ind w:firstLine="0" w:firstLineChars="0"/>
              <w:jc w:val="center"/>
              <w:rPr>
                <w:rFonts w:ascii="宋体" w:hAnsi="Calibri" w:eastAsia="宋体" w:cs="宋体"/>
                <w:b/>
                <w:bCs/>
                <w:kern w:val="0"/>
                <w:sz w:val="24"/>
              </w:rPr>
            </w:pPr>
            <w:r>
              <w:rPr>
                <w:rFonts w:hint="eastAsia" w:ascii="宋体" w:hAnsi="宋体" w:eastAsia="宋体" w:cs="宋体"/>
                <w:b/>
                <w:bCs/>
                <w:kern w:val="0"/>
                <w:sz w:val="24"/>
              </w:rPr>
              <w:t>项目类别</w:t>
            </w:r>
          </w:p>
        </w:tc>
        <w:tc>
          <w:tcPr>
            <w:tcW w:w="1801" w:type="pct"/>
            <w:shd w:val="clear" w:color="auto" w:fill="auto"/>
            <w:vAlign w:val="center"/>
          </w:tcPr>
          <w:p>
            <w:pPr>
              <w:widowControl/>
              <w:adjustRightInd w:val="0"/>
              <w:snapToGrid w:val="0"/>
              <w:spacing w:line="240" w:lineRule="auto"/>
              <w:ind w:firstLine="0" w:firstLineChars="0"/>
              <w:jc w:val="center"/>
              <w:rPr>
                <w:rFonts w:ascii="宋体" w:hAnsi="Calibri" w:eastAsia="宋体" w:cs="宋体"/>
                <w:b/>
                <w:bCs/>
                <w:kern w:val="0"/>
                <w:sz w:val="24"/>
              </w:rPr>
            </w:pPr>
            <w:r>
              <w:rPr>
                <w:rFonts w:hint="eastAsia" w:ascii="宋体" w:hAnsi="宋体" w:eastAsia="宋体" w:cs="宋体"/>
                <w:b/>
                <w:bCs/>
                <w:kern w:val="0"/>
                <w:sz w:val="24"/>
              </w:rPr>
              <w:t>重点工程项目</w:t>
            </w:r>
          </w:p>
        </w:tc>
        <w:tc>
          <w:tcPr>
            <w:tcW w:w="839" w:type="pct"/>
            <w:shd w:val="clear" w:color="auto" w:fill="auto"/>
            <w:noWrap/>
            <w:vAlign w:val="center"/>
          </w:tcPr>
          <w:p>
            <w:pPr>
              <w:widowControl/>
              <w:adjustRightInd w:val="0"/>
              <w:snapToGrid w:val="0"/>
              <w:spacing w:line="240" w:lineRule="auto"/>
              <w:ind w:firstLine="0" w:firstLineChars="0"/>
              <w:jc w:val="center"/>
              <w:rPr>
                <w:rFonts w:ascii="宋体" w:hAnsi="Calibri" w:eastAsia="宋体" w:cs="宋体"/>
                <w:b/>
                <w:bCs/>
                <w:kern w:val="0"/>
                <w:sz w:val="24"/>
              </w:rPr>
            </w:pPr>
            <w:r>
              <w:rPr>
                <w:rFonts w:hint="eastAsia" w:ascii="宋体" w:hAnsi="宋体" w:eastAsia="宋体" w:cs="宋体"/>
                <w:b/>
                <w:bCs/>
                <w:kern w:val="0"/>
                <w:sz w:val="24"/>
              </w:rPr>
              <w:t>牵头部门</w:t>
            </w:r>
          </w:p>
        </w:tc>
        <w:tc>
          <w:tcPr>
            <w:tcW w:w="755" w:type="pct"/>
            <w:shd w:val="clear" w:color="auto" w:fill="auto"/>
            <w:noWrap/>
            <w:vAlign w:val="center"/>
          </w:tcPr>
          <w:p>
            <w:pPr>
              <w:widowControl/>
              <w:adjustRightInd w:val="0"/>
              <w:snapToGrid w:val="0"/>
              <w:spacing w:line="240" w:lineRule="auto"/>
              <w:ind w:firstLine="0" w:firstLineChars="0"/>
              <w:jc w:val="center"/>
              <w:rPr>
                <w:rFonts w:ascii="宋体" w:hAnsi="Calibri" w:eastAsia="宋体" w:cs="宋体"/>
                <w:b/>
                <w:bCs/>
                <w:kern w:val="0"/>
                <w:sz w:val="24"/>
              </w:rPr>
            </w:pPr>
            <w:r>
              <w:rPr>
                <w:rFonts w:hint="eastAsia" w:ascii="宋体" w:hAnsi="宋体" w:eastAsia="宋体" w:cs="宋体"/>
                <w:b/>
                <w:bCs/>
                <w:kern w:val="0"/>
                <w:sz w:val="24"/>
              </w:rPr>
              <w:t>责任部门</w:t>
            </w:r>
          </w:p>
        </w:tc>
        <w:tc>
          <w:tcPr>
            <w:tcW w:w="817" w:type="pct"/>
            <w:shd w:val="clear" w:color="auto" w:fill="auto"/>
            <w:noWrap/>
            <w:vAlign w:val="center"/>
          </w:tcPr>
          <w:p>
            <w:pPr>
              <w:widowControl/>
              <w:adjustRightInd w:val="0"/>
              <w:snapToGrid w:val="0"/>
              <w:spacing w:line="240" w:lineRule="auto"/>
              <w:ind w:firstLine="0" w:firstLineChars="0"/>
              <w:jc w:val="center"/>
              <w:rPr>
                <w:rFonts w:ascii="宋体" w:hAnsi="Calibri" w:eastAsia="宋体" w:cs="宋体"/>
                <w:b/>
                <w:bCs/>
                <w:kern w:val="0"/>
                <w:sz w:val="24"/>
              </w:rPr>
            </w:pPr>
            <w:r>
              <w:rPr>
                <w:rFonts w:hint="eastAsia" w:ascii="宋体" w:hAnsi="宋体" w:eastAsia="宋体" w:cs="宋体"/>
                <w:b/>
                <w:bCs/>
                <w:kern w:val="0"/>
                <w:sz w:val="24"/>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4" w:type="pct"/>
            <w:vMerge w:val="restart"/>
            <w:vAlign w:val="center"/>
          </w:tcPr>
          <w:p>
            <w:pPr>
              <w:spacing w:line="240" w:lineRule="auto"/>
              <w:ind w:firstLine="0" w:firstLineChars="0"/>
              <w:jc w:val="center"/>
              <w:rPr>
                <w:rFonts w:ascii="宋体" w:hAnsi="宋体" w:eastAsia="宋体" w:cs="宋体"/>
                <w:kern w:val="0"/>
                <w:sz w:val="24"/>
              </w:rPr>
            </w:pPr>
            <w:r>
              <w:rPr>
                <w:rFonts w:hint="eastAsia" w:ascii="宋体" w:hAnsi="宋体" w:eastAsia="宋体" w:cs="宋体"/>
                <w:kern w:val="0"/>
                <w:sz w:val="24"/>
              </w:rPr>
              <w:t>改善水体环境质量</w:t>
            </w:r>
          </w:p>
        </w:tc>
        <w:tc>
          <w:tcPr>
            <w:tcW w:w="454" w:type="pct"/>
            <w:vMerge w:val="restart"/>
            <w:vAlign w:val="center"/>
          </w:tcPr>
          <w:p>
            <w:pPr>
              <w:spacing w:line="240" w:lineRule="auto"/>
              <w:ind w:firstLine="0" w:firstLineChars="0"/>
              <w:jc w:val="center"/>
              <w:rPr>
                <w:rFonts w:ascii="宋体" w:hAnsi="宋体" w:eastAsia="宋体" w:cs="Times New Roman"/>
                <w:kern w:val="0"/>
                <w:sz w:val="24"/>
              </w:rPr>
            </w:pPr>
            <w:r>
              <w:rPr>
                <w:rFonts w:hint="eastAsia" w:ascii="宋体" w:hAnsi="宋体" w:eastAsia="宋体" w:cs="宋体"/>
                <w:kern w:val="0"/>
                <w:sz w:val="24"/>
              </w:rPr>
              <w:t>污染防治</w:t>
            </w:r>
          </w:p>
        </w:tc>
        <w:tc>
          <w:tcPr>
            <w:tcW w:w="1801" w:type="pct"/>
            <w:vAlign w:val="center"/>
          </w:tcPr>
          <w:p>
            <w:pPr>
              <w:overflowPunct w:val="0"/>
              <w:spacing w:line="240" w:lineRule="auto"/>
              <w:ind w:firstLine="0" w:firstLineChars="0"/>
              <w:rPr>
                <w:rFonts w:ascii="宋体" w:hAnsi="宋体" w:eastAsia="宋体"/>
                <w:kern w:val="0"/>
                <w:sz w:val="24"/>
                <w:szCs w:val="24"/>
              </w:rPr>
            </w:pPr>
            <w:r>
              <w:rPr>
                <w:rFonts w:ascii="宋体" w:hAnsi="宋体" w:eastAsia="宋体"/>
                <w:kern w:val="0"/>
                <w:sz w:val="24"/>
                <w:szCs w:val="24"/>
              </w:rPr>
              <w:t>天津市红桥区中医医院新建</w:t>
            </w:r>
            <w:r>
              <w:rPr>
                <w:rFonts w:hint="eastAsia" w:ascii="宋体" w:hAnsi="宋体" w:eastAsia="宋体"/>
                <w:kern w:val="0"/>
                <w:sz w:val="24"/>
                <w:szCs w:val="24"/>
              </w:rPr>
              <w:t>污水处理</w:t>
            </w:r>
            <w:r>
              <w:rPr>
                <w:rFonts w:ascii="宋体" w:hAnsi="宋体" w:eastAsia="宋体"/>
                <w:kern w:val="0"/>
                <w:sz w:val="24"/>
                <w:szCs w:val="24"/>
              </w:rPr>
              <w:t>设施</w:t>
            </w:r>
          </w:p>
        </w:tc>
        <w:tc>
          <w:tcPr>
            <w:tcW w:w="839" w:type="pct"/>
            <w:noWrap/>
            <w:vAlign w:val="center"/>
          </w:tcPr>
          <w:p>
            <w:pPr>
              <w:widowControl/>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区生态环境局</w:t>
            </w:r>
          </w:p>
        </w:tc>
        <w:tc>
          <w:tcPr>
            <w:tcW w:w="755" w:type="pct"/>
            <w:noWrap/>
            <w:vAlign w:val="center"/>
          </w:tcPr>
          <w:p>
            <w:pPr>
              <w:widowControl/>
              <w:spacing w:line="240" w:lineRule="auto"/>
              <w:ind w:firstLine="0" w:firstLineChars="0"/>
              <w:jc w:val="center"/>
              <w:rPr>
                <w:rFonts w:ascii="宋体" w:hAnsi="宋体" w:eastAsia="宋体" w:cs="Times New Roman"/>
                <w:kern w:val="0"/>
                <w:sz w:val="24"/>
              </w:rPr>
            </w:pPr>
          </w:p>
        </w:tc>
        <w:tc>
          <w:tcPr>
            <w:tcW w:w="817" w:type="pct"/>
            <w:noWrap/>
            <w:vAlign w:val="center"/>
          </w:tcPr>
          <w:p>
            <w:pPr>
              <w:widowControl/>
              <w:spacing w:line="240" w:lineRule="auto"/>
              <w:ind w:firstLine="0" w:firstLineChars="0"/>
              <w:jc w:val="center"/>
              <w:rPr>
                <w:rFonts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4" w:type="pct"/>
            <w:vMerge w:val="continue"/>
            <w:vAlign w:val="center"/>
          </w:tcPr>
          <w:p>
            <w:pPr>
              <w:spacing w:line="240" w:lineRule="auto"/>
              <w:ind w:firstLine="0" w:firstLineChars="0"/>
              <w:jc w:val="center"/>
              <w:rPr>
                <w:rFonts w:ascii="宋体" w:hAnsi="宋体" w:eastAsia="宋体" w:cs="宋体"/>
                <w:kern w:val="0"/>
                <w:sz w:val="24"/>
              </w:rPr>
            </w:pPr>
          </w:p>
        </w:tc>
        <w:tc>
          <w:tcPr>
            <w:tcW w:w="454" w:type="pct"/>
            <w:vMerge w:val="continue"/>
            <w:vAlign w:val="center"/>
          </w:tcPr>
          <w:p>
            <w:pPr>
              <w:spacing w:line="240" w:lineRule="auto"/>
              <w:ind w:firstLine="0" w:firstLineChars="0"/>
              <w:jc w:val="center"/>
              <w:rPr>
                <w:rFonts w:ascii="宋体" w:hAnsi="宋体" w:eastAsia="宋体" w:cs="Times New Roman"/>
                <w:kern w:val="0"/>
                <w:sz w:val="24"/>
              </w:rPr>
            </w:pPr>
          </w:p>
        </w:tc>
        <w:tc>
          <w:tcPr>
            <w:tcW w:w="1801" w:type="pct"/>
            <w:vAlign w:val="center"/>
          </w:tcPr>
          <w:p>
            <w:pPr>
              <w:overflowPunct w:val="0"/>
              <w:spacing w:line="240" w:lineRule="auto"/>
              <w:ind w:firstLine="0" w:firstLineChars="0"/>
              <w:rPr>
                <w:rFonts w:ascii="宋体" w:hAnsi="宋体" w:eastAsia="宋体"/>
                <w:kern w:val="0"/>
                <w:sz w:val="24"/>
                <w:szCs w:val="24"/>
              </w:rPr>
            </w:pPr>
            <w:r>
              <w:rPr>
                <w:rFonts w:ascii="宋体" w:hAnsi="宋体" w:eastAsia="宋体"/>
                <w:kern w:val="0"/>
                <w:sz w:val="24"/>
                <w:szCs w:val="24"/>
              </w:rPr>
              <w:t>天津市红桥区西沽街社区卫生服务中心</w:t>
            </w:r>
            <w:r>
              <w:rPr>
                <w:rFonts w:hint="eastAsia" w:ascii="宋体" w:hAnsi="宋体" w:eastAsia="宋体"/>
                <w:kern w:val="0"/>
                <w:sz w:val="24"/>
                <w:szCs w:val="24"/>
              </w:rPr>
              <w:t>新建污水处理</w:t>
            </w:r>
            <w:r>
              <w:rPr>
                <w:rFonts w:ascii="宋体" w:hAnsi="宋体" w:eastAsia="宋体"/>
                <w:kern w:val="0"/>
                <w:sz w:val="24"/>
                <w:szCs w:val="24"/>
              </w:rPr>
              <w:t>设施</w:t>
            </w:r>
          </w:p>
        </w:tc>
        <w:tc>
          <w:tcPr>
            <w:tcW w:w="839" w:type="pct"/>
            <w:noWrap/>
            <w:vAlign w:val="center"/>
          </w:tcPr>
          <w:p>
            <w:pPr>
              <w:widowControl/>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区生态环境局</w:t>
            </w:r>
          </w:p>
        </w:tc>
        <w:tc>
          <w:tcPr>
            <w:tcW w:w="755" w:type="pct"/>
            <w:noWrap/>
            <w:vAlign w:val="center"/>
          </w:tcPr>
          <w:p>
            <w:pPr>
              <w:widowControl/>
              <w:spacing w:line="240" w:lineRule="auto"/>
              <w:ind w:firstLine="0" w:firstLineChars="0"/>
              <w:jc w:val="center"/>
              <w:rPr>
                <w:rFonts w:ascii="宋体" w:hAnsi="宋体" w:eastAsia="宋体" w:cs="Times New Roman"/>
                <w:kern w:val="0"/>
                <w:sz w:val="24"/>
              </w:rPr>
            </w:pPr>
            <w:r>
              <w:rPr>
                <w:rFonts w:hint="eastAsia" w:ascii="宋体" w:hAnsi="宋体" w:eastAsia="宋体" w:cs="Times New Roman"/>
                <w:kern w:val="0"/>
                <w:sz w:val="24"/>
              </w:rPr>
              <w:t>西沽街</w:t>
            </w:r>
          </w:p>
        </w:tc>
        <w:tc>
          <w:tcPr>
            <w:tcW w:w="817" w:type="pct"/>
            <w:noWrap/>
            <w:vAlign w:val="center"/>
          </w:tcPr>
          <w:p>
            <w:pPr>
              <w:widowControl/>
              <w:spacing w:line="240" w:lineRule="auto"/>
              <w:ind w:firstLine="0" w:firstLineChars="0"/>
              <w:jc w:val="center"/>
              <w:rPr>
                <w:rFonts w:cs="Times New Roman"/>
                <w:kern w:val="0"/>
                <w:sz w:val="24"/>
              </w:rPr>
            </w:pPr>
          </w:p>
        </w:tc>
      </w:tr>
    </w:tbl>
    <w:p>
      <w:pPr>
        <w:pStyle w:val="10"/>
        <w:ind w:firstLine="0" w:firstLineChars="0"/>
      </w:pPr>
    </w:p>
    <w:p>
      <w:pPr>
        <w:adjustRightInd w:val="0"/>
        <w:snapToGrid w:val="0"/>
        <w:ind w:firstLine="640"/>
        <w:rPr>
          <w:rFonts w:cs="Times New Roman"/>
        </w:rPr>
      </w:pPr>
    </w:p>
    <w:sectPr>
      <w:pgSz w:w="16838" w:h="11906" w:orient="landscape"/>
      <w:pgMar w:top="1797" w:right="1440" w:bottom="1797" w:left="1440" w:header="851" w:footer="992"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0928468"/>
      <w:showingPlcHdr/>
    </w:sdtPr>
    <w:sdtContent>
      <w:p>
        <w:pPr>
          <w:pStyle w:val="16"/>
          <w:ind w:firstLine="360"/>
          <w:jc w:val="cente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847748"/>
    </w:sdtPr>
    <w:sdtContent>
      <w:p>
        <w:pPr>
          <w:pStyle w:val="16"/>
          <w:ind w:firstLine="360"/>
          <w:jc w:val="center"/>
        </w:pPr>
        <w:r>
          <w:fldChar w:fldCharType="begin"/>
        </w:r>
        <w:r>
          <w:instrText xml:space="preserve"> PAGE   \* MERGEFORMAT </w:instrText>
        </w:r>
        <w:r>
          <w:fldChar w:fldCharType="separate"/>
        </w:r>
        <w:r>
          <w:rPr>
            <w:lang w:val="zh-CN"/>
          </w:rPr>
          <w:t>iii</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48066"/>
    </w:sdtPr>
    <w:sdtContent>
      <w:p>
        <w:pPr>
          <w:pStyle w:val="16"/>
          <w:ind w:firstLine="360"/>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A2"/>
    <w:rsid w:val="0000052B"/>
    <w:rsid w:val="000014A3"/>
    <w:rsid w:val="00001F73"/>
    <w:rsid w:val="00002235"/>
    <w:rsid w:val="00003392"/>
    <w:rsid w:val="00006620"/>
    <w:rsid w:val="00006709"/>
    <w:rsid w:val="000103AB"/>
    <w:rsid w:val="00010679"/>
    <w:rsid w:val="00011505"/>
    <w:rsid w:val="00011EF1"/>
    <w:rsid w:val="00013FE2"/>
    <w:rsid w:val="00014EF9"/>
    <w:rsid w:val="00015EE7"/>
    <w:rsid w:val="00020BE4"/>
    <w:rsid w:val="00020C56"/>
    <w:rsid w:val="00020FA8"/>
    <w:rsid w:val="00023731"/>
    <w:rsid w:val="000238F8"/>
    <w:rsid w:val="0002455B"/>
    <w:rsid w:val="0002670A"/>
    <w:rsid w:val="00027899"/>
    <w:rsid w:val="00031055"/>
    <w:rsid w:val="0003265F"/>
    <w:rsid w:val="0003299A"/>
    <w:rsid w:val="000361B4"/>
    <w:rsid w:val="00036F40"/>
    <w:rsid w:val="0003725D"/>
    <w:rsid w:val="0003740C"/>
    <w:rsid w:val="000376EC"/>
    <w:rsid w:val="00044B79"/>
    <w:rsid w:val="00045CB3"/>
    <w:rsid w:val="0004682E"/>
    <w:rsid w:val="00046CC6"/>
    <w:rsid w:val="00050269"/>
    <w:rsid w:val="00050FAE"/>
    <w:rsid w:val="00051332"/>
    <w:rsid w:val="00051E88"/>
    <w:rsid w:val="00052495"/>
    <w:rsid w:val="000555D5"/>
    <w:rsid w:val="00060BE5"/>
    <w:rsid w:val="00061A28"/>
    <w:rsid w:val="00061BE5"/>
    <w:rsid w:val="00061CBD"/>
    <w:rsid w:val="00063913"/>
    <w:rsid w:val="00063D44"/>
    <w:rsid w:val="0006418B"/>
    <w:rsid w:val="00065E1E"/>
    <w:rsid w:val="00066749"/>
    <w:rsid w:val="00066E65"/>
    <w:rsid w:val="00070C83"/>
    <w:rsid w:val="00072EB8"/>
    <w:rsid w:val="000751C8"/>
    <w:rsid w:val="000766E6"/>
    <w:rsid w:val="00076A41"/>
    <w:rsid w:val="0007742D"/>
    <w:rsid w:val="00081623"/>
    <w:rsid w:val="00082B38"/>
    <w:rsid w:val="00083DCB"/>
    <w:rsid w:val="00090EE1"/>
    <w:rsid w:val="0009363F"/>
    <w:rsid w:val="00095EC9"/>
    <w:rsid w:val="0009684E"/>
    <w:rsid w:val="000A07E2"/>
    <w:rsid w:val="000A1376"/>
    <w:rsid w:val="000A1B0A"/>
    <w:rsid w:val="000A28EB"/>
    <w:rsid w:val="000A4A3C"/>
    <w:rsid w:val="000A5A4F"/>
    <w:rsid w:val="000A7E0B"/>
    <w:rsid w:val="000B0619"/>
    <w:rsid w:val="000B27A2"/>
    <w:rsid w:val="000B3093"/>
    <w:rsid w:val="000B6055"/>
    <w:rsid w:val="000C0356"/>
    <w:rsid w:val="000C178B"/>
    <w:rsid w:val="000C1E12"/>
    <w:rsid w:val="000C36F8"/>
    <w:rsid w:val="000C57B2"/>
    <w:rsid w:val="000C5CA9"/>
    <w:rsid w:val="000C6957"/>
    <w:rsid w:val="000C6F3F"/>
    <w:rsid w:val="000C7C10"/>
    <w:rsid w:val="000D13DA"/>
    <w:rsid w:val="000D1456"/>
    <w:rsid w:val="000D3653"/>
    <w:rsid w:val="000D52A2"/>
    <w:rsid w:val="000D64BA"/>
    <w:rsid w:val="000E0488"/>
    <w:rsid w:val="000E1CDB"/>
    <w:rsid w:val="000E1F01"/>
    <w:rsid w:val="000E2960"/>
    <w:rsid w:val="000E2C56"/>
    <w:rsid w:val="000E714A"/>
    <w:rsid w:val="000E7EDB"/>
    <w:rsid w:val="000F0BD8"/>
    <w:rsid w:val="000F13B0"/>
    <w:rsid w:val="000F28A3"/>
    <w:rsid w:val="000F5B8D"/>
    <w:rsid w:val="000F7750"/>
    <w:rsid w:val="001002B3"/>
    <w:rsid w:val="00101CA3"/>
    <w:rsid w:val="00101D24"/>
    <w:rsid w:val="00103DEC"/>
    <w:rsid w:val="0011074E"/>
    <w:rsid w:val="00111BDA"/>
    <w:rsid w:val="001120B6"/>
    <w:rsid w:val="00112491"/>
    <w:rsid w:val="00114EFD"/>
    <w:rsid w:val="0012005F"/>
    <w:rsid w:val="00120797"/>
    <w:rsid w:val="00121964"/>
    <w:rsid w:val="00123CD2"/>
    <w:rsid w:val="0012430A"/>
    <w:rsid w:val="001277C4"/>
    <w:rsid w:val="00131086"/>
    <w:rsid w:val="0013479B"/>
    <w:rsid w:val="00135B29"/>
    <w:rsid w:val="0013673F"/>
    <w:rsid w:val="00137552"/>
    <w:rsid w:val="00137BE5"/>
    <w:rsid w:val="00141F86"/>
    <w:rsid w:val="00142EBB"/>
    <w:rsid w:val="00144F5D"/>
    <w:rsid w:val="001473C6"/>
    <w:rsid w:val="001477C8"/>
    <w:rsid w:val="001509C8"/>
    <w:rsid w:val="00150CEC"/>
    <w:rsid w:val="00151CBE"/>
    <w:rsid w:val="00153DE7"/>
    <w:rsid w:val="00153F3A"/>
    <w:rsid w:val="0015527F"/>
    <w:rsid w:val="00160149"/>
    <w:rsid w:val="0016170C"/>
    <w:rsid w:val="00161830"/>
    <w:rsid w:val="00162724"/>
    <w:rsid w:val="00162E01"/>
    <w:rsid w:val="00165812"/>
    <w:rsid w:val="00166088"/>
    <w:rsid w:val="0016610A"/>
    <w:rsid w:val="0017226B"/>
    <w:rsid w:val="001728A2"/>
    <w:rsid w:val="0017311E"/>
    <w:rsid w:val="0017368D"/>
    <w:rsid w:val="00174E89"/>
    <w:rsid w:val="00175AEB"/>
    <w:rsid w:val="00176D6E"/>
    <w:rsid w:val="00177096"/>
    <w:rsid w:val="00177B45"/>
    <w:rsid w:val="00177C47"/>
    <w:rsid w:val="00180735"/>
    <w:rsid w:val="00181FBA"/>
    <w:rsid w:val="00184B45"/>
    <w:rsid w:val="001858E3"/>
    <w:rsid w:val="00185D75"/>
    <w:rsid w:val="00185E07"/>
    <w:rsid w:val="00186A2A"/>
    <w:rsid w:val="00186EF1"/>
    <w:rsid w:val="00186F85"/>
    <w:rsid w:val="00187398"/>
    <w:rsid w:val="00191459"/>
    <w:rsid w:val="00192392"/>
    <w:rsid w:val="00193ADB"/>
    <w:rsid w:val="001A0E54"/>
    <w:rsid w:val="001A27FC"/>
    <w:rsid w:val="001A6304"/>
    <w:rsid w:val="001B014E"/>
    <w:rsid w:val="001B0E37"/>
    <w:rsid w:val="001B18CF"/>
    <w:rsid w:val="001B64E5"/>
    <w:rsid w:val="001C05F6"/>
    <w:rsid w:val="001C28A6"/>
    <w:rsid w:val="001C30CF"/>
    <w:rsid w:val="001C3CEA"/>
    <w:rsid w:val="001C429F"/>
    <w:rsid w:val="001C42D1"/>
    <w:rsid w:val="001C5DCF"/>
    <w:rsid w:val="001C72E5"/>
    <w:rsid w:val="001D0A2E"/>
    <w:rsid w:val="001D1607"/>
    <w:rsid w:val="001D2A64"/>
    <w:rsid w:val="001D40C2"/>
    <w:rsid w:val="001D70D4"/>
    <w:rsid w:val="001E1F4F"/>
    <w:rsid w:val="001E239A"/>
    <w:rsid w:val="001E3B0B"/>
    <w:rsid w:val="001E5459"/>
    <w:rsid w:val="001E5AA6"/>
    <w:rsid w:val="001E5ADB"/>
    <w:rsid w:val="001E60C6"/>
    <w:rsid w:val="001E62C3"/>
    <w:rsid w:val="001E7BA8"/>
    <w:rsid w:val="001F085B"/>
    <w:rsid w:val="001F12E3"/>
    <w:rsid w:val="001F2E2A"/>
    <w:rsid w:val="001F6CAD"/>
    <w:rsid w:val="00202594"/>
    <w:rsid w:val="002027BC"/>
    <w:rsid w:val="00204FD9"/>
    <w:rsid w:val="00205AD6"/>
    <w:rsid w:val="002061A1"/>
    <w:rsid w:val="00207185"/>
    <w:rsid w:val="0021025E"/>
    <w:rsid w:val="002173BE"/>
    <w:rsid w:val="00217647"/>
    <w:rsid w:val="002218F3"/>
    <w:rsid w:val="00222E3C"/>
    <w:rsid w:val="00222F62"/>
    <w:rsid w:val="002236A4"/>
    <w:rsid w:val="00223D72"/>
    <w:rsid w:val="002241B3"/>
    <w:rsid w:val="00226670"/>
    <w:rsid w:val="00227645"/>
    <w:rsid w:val="00227807"/>
    <w:rsid w:val="00227955"/>
    <w:rsid w:val="00232B8F"/>
    <w:rsid w:val="00233180"/>
    <w:rsid w:val="002372DD"/>
    <w:rsid w:val="0023769B"/>
    <w:rsid w:val="00237727"/>
    <w:rsid w:val="00237A72"/>
    <w:rsid w:val="00240621"/>
    <w:rsid w:val="00242029"/>
    <w:rsid w:val="0024519F"/>
    <w:rsid w:val="00247250"/>
    <w:rsid w:val="00247499"/>
    <w:rsid w:val="00247EBD"/>
    <w:rsid w:val="0025099F"/>
    <w:rsid w:val="00251DF8"/>
    <w:rsid w:val="002565B4"/>
    <w:rsid w:val="00257D6A"/>
    <w:rsid w:val="0026044E"/>
    <w:rsid w:val="00262E36"/>
    <w:rsid w:val="002632C7"/>
    <w:rsid w:val="0026438F"/>
    <w:rsid w:val="00264AB0"/>
    <w:rsid w:val="00265E77"/>
    <w:rsid w:val="00266C85"/>
    <w:rsid w:val="00267BCD"/>
    <w:rsid w:val="00267D5F"/>
    <w:rsid w:val="00283877"/>
    <w:rsid w:val="00284F2A"/>
    <w:rsid w:val="00285BB3"/>
    <w:rsid w:val="002912AD"/>
    <w:rsid w:val="002915F1"/>
    <w:rsid w:val="0029343B"/>
    <w:rsid w:val="00293ED4"/>
    <w:rsid w:val="00294903"/>
    <w:rsid w:val="0029622E"/>
    <w:rsid w:val="0029632B"/>
    <w:rsid w:val="002970BB"/>
    <w:rsid w:val="00297519"/>
    <w:rsid w:val="0029788B"/>
    <w:rsid w:val="002A024B"/>
    <w:rsid w:val="002A182E"/>
    <w:rsid w:val="002A3740"/>
    <w:rsid w:val="002A3DCE"/>
    <w:rsid w:val="002A6819"/>
    <w:rsid w:val="002B14F3"/>
    <w:rsid w:val="002B275D"/>
    <w:rsid w:val="002B306F"/>
    <w:rsid w:val="002B30D2"/>
    <w:rsid w:val="002B4E98"/>
    <w:rsid w:val="002B5AB9"/>
    <w:rsid w:val="002B6433"/>
    <w:rsid w:val="002B6F23"/>
    <w:rsid w:val="002B7EDF"/>
    <w:rsid w:val="002C3359"/>
    <w:rsid w:val="002C3D4C"/>
    <w:rsid w:val="002D041F"/>
    <w:rsid w:val="002D263F"/>
    <w:rsid w:val="002D29E3"/>
    <w:rsid w:val="002D2C29"/>
    <w:rsid w:val="002D37E4"/>
    <w:rsid w:val="002E2064"/>
    <w:rsid w:val="002E2D73"/>
    <w:rsid w:val="002E3C8D"/>
    <w:rsid w:val="002E4624"/>
    <w:rsid w:val="002E6768"/>
    <w:rsid w:val="002F0EAE"/>
    <w:rsid w:val="002F153D"/>
    <w:rsid w:val="002F15BC"/>
    <w:rsid w:val="002F20CC"/>
    <w:rsid w:val="002F27D6"/>
    <w:rsid w:val="002F317F"/>
    <w:rsid w:val="002F3641"/>
    <w:rsid w:val="002F3AAB"/>
    <w:rsid w:val="002F55B4"/>
    <w:rsid w:val="002F7F58"/>
    <w:rsid w:val="00301C77"/>
    <w:rsid w:val="00302140"/>
    <w:rsid w:val="00302CB9"/>
    <w:rsid w:val="003030F1"/>
    <w:rsid w:val="0030349B"/>
    <w:rsid w:val="00305B04"/>
    <w:rsid w:val="003060E2"/>
    <w:rsid w:val="00307DDA"/>
    <w:rsid w:val="00307F1D"/>
    <w:rsid w:val="00310494"/>
    <w:rsid w:val="00310BF0"/>
    <w:rsid w:val="00313228"/>
    <w:rsid w:val="00313DDE"/>
    <w:rsid w:val="0031635C"/>
    <w:rsid w:val="003165AC"/>
    <w:rsid w:val="003201E7"/>
    <w:rsid w:val="003209A0"/>
    <w:rsid w:val="00321A38"/>
    <w:rsid w:val="00322577"/>
    <w:rsid w:val="00323EA2"/>
    <w:rsid w:val="00327091"/>
    <w:rsid w:val="0032793A"/>
    <w:rsid w:val="00327BCE"/>
    <w:rsid w:val="003334F6"/>
    <w:rsid w:val="003337F6"/>
    <w:rsid w:val="003343D5"/>
    <w:rsid w:val="0034171D"/>
    <w:rsid w:val="00342F7A"/>
    <w:rsid w:val="003436E2"/>
    <w:rsid w:val="00343E24"/>
    <w:rsid w:val="003450AD"/>
    <w:rsid w:val="003459C4"/>
    <w:rsid w:val="00345EEF"/>
    <w:rsid w:val="0034778D"/>
    <w:rsid w:val="0035015E"/>
    <w:rsid w:val="00352626"/>
    <w:rsid w:val="00353B20"/>
    <w:rsid w:val="003549B8"/>
    <w:rsid w:val="0035705F"/>
    <w:rsid w:val="00357080"/>
    <w:rsid w:val="0036008B"/>
    <w:rsid w:val="00360445"/>
    <w:rsid w:val="00362A8A"/>
    <w:rsid w:val="00363817"/>
    <w:rsid w:val="00367BC4"/>
    <w:rsid w:val="003712AE"/>
    <w:rsid w:val="0037149E"/>
    <w:rsid w:val="00372379"/>
    <w:rsid w:val="00372C8B"/>
    <w:rsid w:val="00374B34"/>
    <w:rsid w:val="003755E1"/>
    <w:rsid w:val="003809B2"/>
    <w:rsid w:val="00380F82"/>
    <w:rsid w:val="003811A7"/>
    <w:rsid w:val="00382F3A"/>
    <w:rsid w:val="003835B1"/>
    <w:rsid w:val="00383DD2"/>
    <w:rsid w:val="00386009"/>
    <w:rsid w:val="00390DE3"/>
    <w:rsid w:val="0039369C"/>
    <w:rsid w:val="0039419D"/>
    <w:rsid w:val="003954DF"/>
    <w:rsid w:val="0039551D"/>
    <w:rsid w:val="003969E2"/>
    <w:rsid w:val="003A0A1D"/>
    <w:rsid w:val="003A0B2A"/>
    <w:rsid w:val="003A1570"/>
    <w:rsid w:val="003A1AB8"/>
    <w:rsid w:val="003A2374"/>
    <w:rsid w:val="003A2517"/>
    <w:rsid w:val="003A3757"/>
    <w:rsid w:val="003A4462"/>
    <w:rsid w:val="003A475C"/>
    <w:rsid w:val="003A4BC4"/>
    <w:rsid w:val="003A5473"/>
    <w:rsid w:val="003A645B"/>
    <w:rsid w:val="003A6631"/>
    <w:rsid w:val="003A6F76"/>
    <w:rsid w:val="003A77E4"/>
    <w:rsid w:val="003B2295"/>
    <w:rsid w:val="003B2D64"/>
    <w:rsid w:val="003B39ED"/>
    <w:rsid w:val="003B3F46"/>
    <w:rsid w:val="003B5208"/>
    <w:rsid w:val="003B557D"/>
    <w:rsid w:val="003B5D8E"/>
    <w:rsid w:val="003B77F4"/>
    <w:rsid w:val="003C22F2"/>
    <w:rsid w:val="003C2D9A"/>
    <w:rsid w:val="003C6ABE"/>
    <w:rsid w:val="003D05D5"/>
    <w:rsid w:val="003D32CF"/>
    <w:rsid w:val="003E07CA"/>
    <w:rsid w:val="003E27CC"/>
    <w:rsid w:val="003E7030"/>
    <w:rsid w:val="003F04C9"/>
    <w:rsid w:val="003F1B70"/>
    <w:rsid w:val="003F7928"/>
    <w:rsid w:val="00400C1D"/>
    <w:rsid w:val="0040114B"/>
    <w:rsid w:val="0040406E"/>
    <w:rsid w:val="0040494E"/>
    <w:rsid w:val="00406E83"/>
    <w:rsid w:val="004102EC"/>
    <w:rsid w:val="00412B40"/>
    <w:rsid w:val="00414575"/>
    <w:rsid w:val="00414FF8"/>
    <w:rsid w:val="00415FAB"/>
    <w:rsid w:val="004167F3"/>
    <w:rsid w:val="0042317A"/>
    <w:rsid w:val="00423932"/>
    <w:rsid w:val="00423BE0"/>
    <w:rsid w:val="00424044"/>
    <w:rsid w:val="00426A54"/>
    <w:rsid w:val="004270B9"/>
    <w:rsid w:val="0043466E"/>
    <w:rsid w:val="00436242"/>
    <w:rsid w:val="0044261D"/>
    <w:rsid w:val="0044363F"/>
    <w:rsid w:val="00444424"/>
    <w:rsid w:val="00451F04"/>
    <w:rsid w:val="00451F5D"/>
    <w:rsid w:val="004525DF"/>
    <w:rsid w:val="00456181"/>
    <w:rsid w:val="00456939"/>
    <w:rsid w:val="00456CBA"/>
    <w:rsid w:val="00456FEE"/>
    <w:rsid w:val="0046151C"/>
    <w:rsid w:val="00461731"/>
    <w:rsid w:val="004617D6"/>
    <w:rsid w:val="00461A31"/>
    <w:rsid w:val="00462493"/>
    <w:rsid w:val="004626A7"/>
    <w:rsid w:val="004671D2"/>
    <w:rsid w:val="00467BE0"/>
    <w:rsid w:val="00467FAB"/>
    <w:rsid w:val="00471741"/>
    <w:rsid w:val="00474723"/>
    <w:rsid w:val="00476D55"/>
    <w:rsid w:val="0047730B"/>
    <w:rsid w:val="00483238"/>
    <w:rsid w:val="00484C6C"/>
    <w:rsid w:val="004853B2"/>
    <w:rsid w:val="00486D78"/>
    <w:rsid w:val="0048747B"/>
    <w:rsid w:val="00490541"/>
    <w:rsid w:val="0049142F"/>
    <w:rsid w:val="00491D5B"/>
    <w:rsid w:val="00491FA1"/>
    <w:rsid w:val="00492C69"/>
    <w:rsid w:val="004946CE"/>
    <w:rsid w:val="00495502"/>
    <w:rsid w:val="00497046"/>
    <w:rsid w:val="004A0C21"/>
    <w:rsid w:val="004A0CAA"/>
    <w:rsid w:val="004A3394"/>
    <w:rsid w:val="004A36E0"/>
    <w:rsid w:val="004A5705"/>
    <w:rsid w:val="004B2358"/>
    <w:rsid w:val="004B661F"/>
    <w:rsid w:val="004B75E6"/>
    <w:rsid w:val="004B78AF"/>
    <w:rsid w:val="004C000E"/>
    <w:rsid w:val="004C2615"/>
    <w:rsid w:val="004C2D64"/>
    <w:rsid w:val="004C2E1D"/>
    <w:rsid w:val="004C41AE"/>
    <w:rsid w:val="004D6755"/>
    <w:rsid w:val="004E2A3E"/>
    <w:rsid w:val="004E41AD"/>
    <w:rsid w:val="004E6CC9"/>
    <w:rsid w:val="004E78EF"/>
    <w:rsid w:val="004F0B18"/>
    <w:rsid w:val="004F0C0A"/>
    <w:rsid w:val="004F335C"/>
    <w:rsid w:val="004F3FA1"/>
    <w:rsid w:val="004F5AF9"/>
    <w:rsid w:val="004F5D04"/>
    <w:rsid w:val="00504A59"/>
    <w:rsid w:val="005064DB"/>
    <w:rsid w:val="00510DFE"/>
    <w:rsid w:val="00512DA4"/>
    <w:rsid w:val="005145C7"/>
    <w:rsid w:val="00514703"/>
    <w:rsid w:val="005201DF"/>
    <w:rsid w:val="005277C4"/>
    <w:rsid w:val="00527888"/>
    <w:rsid w:val="00531ECC"/>
    <w:rsid w:val="00532D95"/>
    <w:rsid w:val="005341C2"/>
    <w:rsid w:val="0054006E"/>
    <w:rsid w:val="0054446B"/>
    <w:rsid w:val="00545E68"/>
    <w:rsid w:val="005502F5"/>
    <w:rsid w:val="00552A79"/>
    <w:rsid w:val="00552BC1"/>
    <w:rsid w:val="005532D8"/>
    <w:rsid w:val="0055431D"/>
    <w:rsid w:val="00565050"/>
    <w:rsid w:val="005669E5"/>
    <w:rsid w:val="005739E5"/>
    <w:rsid w:val="00573E04"/>
    <w:rsid w:val="005750E3"/>
    <w:rsid w:val="00576AD5"/>
    <w:rsid w:val="00577B1B"/>
    <w:rsid w:val="00581173"/>
    <w:rsid w:val="00581AD6"/>
    <w:rsid w:val="00582DE6"/>
    <w:rsid w:val="0058310B"/>
    <w:rsid w:val="0058386C"/>
    <w:rsid w:val="005842A5"/>
    <w:rsid w:val="00585FA2"/>
    <w:rsid w:val="005863A6"/>
    <w:rsid w:val="00587370"/>
    <w:rsid w:val="005875D4"/>
    <w:rsid w:val="0059079F"/>
    <w:rsid w:val="005941F6"/>
    <w:rsid w:val="00594AA1"/>
    <w:rsid w:val="00595B25"/>
    <w:rsid w:val="005A208E"/>
    <w:rsid w:val="005A21A4"/>
    <w:rsid w:val="005A2F0B"/>
    <w:rsid w:val="005A3173"/>
    <w:rsid w:val="005A33DD"/>
    <w:rsid w:val="005A5DE2"/>
    <w:rsid w:val="005A6299"/>
    <w:rsid w:val="005A7114"/>
    <w:rsid w:val="005B3198"/>
    <w:rsid w:val="005B32FC"/>
    <w:rsid w:val="005B4554"/>
    <w:rsid w:val="005B5564"/>
    <w:rsid w:val="005B6049"/>
    <w:rsid w:val="005B74C7"/>
    <w:rsid w:val="005B76E1"/>
    <w:rsid w:val="005C1244"/>
    <w:rsid w:val="005C25F5"/>
    <w:rsid w:val="005D3CC3"/>
    <w:rsid w:val="005D55EF"/>
    <w:rsid w:val="005D57F0"/>
    <w:rsid w:val="005D7EB8"/>
    <w:rsid w:val="005E0D05"/>
    <w:rsid w:val="005E1C3C"/>
    <w:rsid w:val="005E2CEC"/>
    <w:rsid w:val="005E2FED"/>
    <w:rsid w:val="005E5972"/>
    <w:rsid w:val="005E7130"/>
    <w:rsid w:val="005F0747"/>
    <w:rsid w:val="006006B7"/>
    <w:rsid w:val="00600903"/>
    <w:rsid w:val="006013E9"/>
    <w:rsid w:val="00601FEE"/>
    <w:rsid w:val="00603BEF"/>
    <w:rsid w:val="00604127"/>
    <w:rsid w:val="006053FF"/>
    <w:rsid w:val="006071F9"/>
    <w:rsid w:val="00612A98"/>
    <w:rsid w:val="006137A9"/>
    <w:rsid w:val="00621425"/>
    <w:rsid w:val="00621946"/>
    <w:rsid w:val="00623AC4"/>
    <w:rsid w:val="00627C8A"/>
    <w:rsid w:val="006366EE"/>
    <w:rsid w:val="00637631"/>
    <w:rsid w:val="00640CDA"/>
    <w:rsid w:val="00641955"/>
    <w:rsid w:val="00643040"/>
    <w:rsid w:val="00653E06"/>
    <w:rsid w:val="00654F1A"/>
    <w:rsid w:val="006641FC"/>
    <w:rsid w:val="00666D51"/>
    <w:rsid w:val="00667734"/>
    <w:rsid w:val="00671C27"/>
    <w:rsid w:val="00672562"/>
    <w:rsid w:val="00674291"/>
    <w:rsid w:val="00675CF9"/>
    <w:rsid w:val="006762F4"/>
    <w:rsid w:val="00682700"/>
    <w:rsid w:val="00682C81"/>
    <w:rsid w:val="006855B6"/>
    <w:rsid w:val="006864F7"/>
    <w:rsid w:val="00691F04"/>
    <w:rsid w:val="006923DA"/>
    <w:rsid w:val="00693023"/>
    <w:rsid w:val="006948BE"/>
    <w:rsid w:val="00695898"/>
    <w:rsid w:val="00697EFA"/>
    <w:rsid w:val="006A035F"/>
    <w:rsid w:val="006A31D2"/>
    <w:rsid w:val="006A4514"/>
    <w:rsid w:val="006A560F"/>
    <w:rsid w:val="006A602D"/>
    <w:rsid w:val="006A71CF"/>
    <w:rsid w:val="006A7942"/>
    <w:rsid w:val="006B1193"/>
    <w:rsid w:val="006B1B0E"/>
    <w:rsid w:val="006B1EB9"/>
    <w:rsid w:val="006B4193"/>
    <w:rsid w:val="006B52B2"/>
    <w:rsid w:val="006B6E4E"/>
    <w:rsid w:val="006C01A5"/>
    <w:rsid w:val="006C0709"/>
    <w:rsid w:val="006C101C"/>
    <w:rsid w:val="006C1668"/>
    <w:rsid w:val="006C2F22"/>
    <w:rsid w:val="006C4C95"/>
    <w:rsid w:val="006C4FF8"/>
    <w:rsid w:val="006C7525"/>
    <w:rsid w:val="006D2477"/>
    <w:rsid w:val="006D63ED"/>
    <w:rsid w:val="006D6452"/>
    <w:rsid w:val="006D77BF"/>
    <w:rsid w:val="006D7BB5"/>
    <w:rsid w:val="006E0685"/>
    <w:rsid w:val="006E2B15"/>
    <w:rsid w:val="006E3709"/>
    <w:rsid w:val="006E41F2"/>
    <w:rsid w:val="006E614A"/>
    <w:rsid w:val="006E7043"/>
    <w:rsid w:val="006E780E"/>
    <w:rsid w:val="006E7DD4"/>
    <w:rsid w:val="006F2924"/>
    <w:rsid w:val="006F3056"/>
    <w:rsid w:val="006F38B2"/>
    <w:rsid w:val="006F52B4"/>
    <w:rsid w:val="006F53EB"/>
    <w:rsid w:val="006F730D"/>
    <w:rsid w:val="00701378"/>
    <w:rsid w:val="007016BF"/>
    <w:rsid w:val="0070250A"/>
    <w:rsid w:val="00702EFD"/>
    <w:rsid w:val="0070410C"/>
    <w:rsid w:val="00704B26"/>
    <w:rsid w:val="007102CA"/>
    <w:rsid w:val="00710AA6"/>
    <w:rsid w:val="00710C62"/>
    <w:rsid w:val="00711543"/>
    <w:rsid w:val="0071269A"/>
    <w:rsid w:val="00712E3A"/>
    <w:rsid w:val="00714523"/>
    <w:rsid w:val="00714B86"/>
    <w:rsid w:val="00714E1B"/>
    <w:rsid w:val="007164C2"/>
    <w:rsid w:val="007166D5"/>
    <w:rsid w:val="00716A9F"/>
    <w:rsid w:val="00720435"/>
    <w:rsid w:val="00725CF2"/>
    <w:rsid w:val="00727DA9"/>
    <w:rsid w:val="00735E93"/>
    <w:rsid w:val="0073601E"/>
    <w:rsid w:val="00740C7C"/>
    <w:rsid w:val="00744FAC"/>
    <w:rsid w:val="00745D38"/>
    <w:rsid w:val="00746A97"/>
    <w:rsid w:val="00750FF2"/>
    <w:rsid w:val="007515C0"/>
    <w:rsid w:val="00751E92"/>
    <w:rsid w:val="00760DF5"/>
    <w:rsid w:val="00762685"/>
    <w:rsid w:val="00763B82"/>
    <w:rsid w:val="00764AB5"/>
    <w:rsid w:val="00764E2B"/>
    <w:rsid w:val="00766167"/>
    <w:rsid w:val="00766FF1"/>
    <w:rsid w:val="0077004F"/>
    <w:rsid w:val="00772E11"/>
    <w:rsid w:val="007753D2"/>
    <w:rsid w:val="007757A0"/>
    <w:rsid w:val="007758D3"/>
    <w:rsid w:val="00776978"/>
    <w:rsid w:val="00776A0D"/>
    <w:rsid w:val="00776E65"/>
    <w:rsid w:val="00777458"/>
    <w:rsid w:val="007779E2"/>
    <w:rsid w:val="00786E42"/>
    <w:rsid w:val="007943AC"/>
    <w:rsid w:val="007A1334"/>
    <w:rsid w:val="007A2AB4"/>
    <w:rsid w:val="007A53AE"/>
    <w:rsid w:val="007A5472"/>
    <w:rsid w:val="007A714B"/>
    <w:rsid w:val="007B385B"/>
    <w:rsid w:val="007B6873"/>
    <w:rsid w:val="007B7FA1"/>
    <w:rsid w:val="007C1B1F"/>
    <w:rsid w:val="007C226A"/>
    <w:rsid w:val="007C3EDF"/>
    <w:rsid w:val="007C661B"/>
    <w:rsid w:val="007C7BDA"/>
    <w:rsid w:val="007D03D1"/>
    <w:rsid w:val="007D0F21"/>
    <w:rsid w:val="007D19BF"/>
    <w:rsid w:val="007D1C88"/>
    <w:rsid w:val="007D1F26"/>
    <w:rsid w:val="007D3F89"/>
    <w:rsid w:val="007D40C5"/>
    <w:rsid w:val="007D4117"/>
    <w:rsid w:val="007D42E0"/>
    <w:rsid w:val="007D7DC2"/>
    <w:rsid w:val="007E0CD8"/>
    <w:rsid w:val="007E269E"/>
    <w:rsid w:val="007E5B2A"/>
    <w:rsid w:val="007F311A"/>
    <w:rsid w:val="007F3AEF"/>
    <w:rsid w:val="007F45D5"/>
    <w:rsid w:val="007F72B8"/>
    <w:rsid w:val="007F7955"/>
    <w:rsid w:val="008013AC"/>
    <w:rsid w:val="00803B70"/>
    <w:rsid w:val="008173C2"/>
    <w:rsid w:val="008206C5"/>
    <w:rsid w:val="00827E32"/>
    <w:rsid w:val="008301F3"/>
    <w:rsid w:val="008418A8"/>
    <w:rsid w:val="0084219E"/>
    <w:rsid w:val="00844CE1"/>
    <w:rsid w:val="0084528C"/>
    <w:rsid w:val="008459CD"/>
    <w:rsid w:val="00845A5B"/>
    <w:rsid w:val="0085008B"/>
    <w:rsid w:val="00850D16"/>
    <w:rsid w:val="00851108"/>
    <w:rsid w:val="00855F8A"/>
    <w:rsid w:val="00857390"/>
    <w:rsid w:val="00860047"/>
    <w:rsid w:val="00860DB2"/>
    <w:rsid w:val="00862260"/>
    <w:rsid w:val="008639C8"/>
    <w:rsid w:val="00864FFD"/>
    <w:rsid w:val="008659DC"/>
    <w:rsid w:val="008702A9"/>
    <w:rsid w:val="00872229"/>
    <w:rsid w:val="0087259D"/>
    <w:rsid w:val="00873839"/>
    <w:rsid w:val="00874487"/>
    <w:rsid w:val="008763D1"/>
    <w:rsid w:val="00880468"/>
    <w:rsid w:val="008804FC"/>
    <w:rsid w:val="00881F03"/>
    <w:rsid w:val="008832EB"/>
    <w:rsid w:val="0088401E"/>
    <w:rsid w:val="008846F5"/>
    <w:rsid w:val="00885A9D"/>
    <w:rsid w:val="0089068E"/>
    <w:rsid w:val="0089329B"/>
    <w:rsid w:val="00893B21"/>
    <w:rsid w:val="00893D77"/>
    <w:rsid w:val="008945B4"/>
    <w:rsid w:val="00895923"/>
    <w:rsid w:val="00895DD9"/>
    <w:rsid w:val="008965FD"/>
    <w:rsid w:val="008A20A9"/>
    <w:rsid w:val="008A2892"/>
    <w:rsid w:val="008A293E"/>
    <w:rsid w:val="008A2E11"/>
    <w:rsid w:val="008A329A"/>
    <w:rsid w:val="008A5126"/>
    <w:rsid w:val="008B17BB"/>
    <w:rsid w:val="008B30E6"/>
    <w:rsid w:val="008B5DB7"/>
    <w:rsid w:val="008B6F9B"/>
    <w:rsid w:val="008C14DB"/>
    <w:rsid w:val="008C1B57"/>
    <w:rsid w:val="008C2085"/>
    <w:rsid w:val="008C3648"/>
    <w:rsid w:val="008C6091"/>
    <w:rsid w:val="008D01E0"/>
    <w:rsid w:val="008D14DC"/>
    <w:rsid w:val="008D28BA"/>
    <w:rsid w:val="008D38D1"/>
    <w:rsid w:val="008D7BC3"/>
    <w:rsid w:val="008E27A6"/>
    <w:rsid w:val="008E2FFC"/>
    <w:rsid w:val="008E3708"/>
    <w:rsid w:val="008E3A28"/>
    <w:rsid w:val="008E3A70"/>
    <w:rsid w:val="008E5C5C"/>
    <w:rsid w:val="008F1B9B"/>
    <w:rsid w:val="008F355D"/>
    <w:rsid w:val="008F41FF"/>
    <w:rsid w:val="008F5D82"/>
    <w:rsid w:val="008F6136"/>
    <w:rsid w:val="008F62D4"/>
    <w:rsid w:val="008F66BA"/>
    <w:rsid w:val="008F6CE8"/>
    <w:rsid w:val="008F70C8"/>
    <w:rsid w:val="008F7877"/>
    <w:rsid w:val="009030C8"/>
    <w:rsid w:val="009035B9"/>
    <w:rsid w:val="00910E67"/>
    <w:rsid w:val="00911EAB"/>
    <w:rsid w:val="00913718"/>
    <w:rsid w:val="00913D18"/>
    <w:rsid w:val="00915BC4"/>
    <w:rsid w:val="00917AE7"/>
    <w:rsid w:val="009202AD"/>
    <w:rsid w:val="00923037"/>
    <w:rsid w:val="0092596A"/>
    <w:rsid w:val="00926001"/>
    <w:rsid w:val="00926F9F"/>
    <w:rsid w:val="00930A26"/>
    <w:rsid w:val="00930D3D"/>
    <w:rsid w:val="009316F0"/>
    <w:rsid w:val="00931BA3"/>
    <w:rsid w:val="00932FCD"/>
    <w:rsid w:val="009336CD"/>
    <w:rsid w:val="0093717B"/>
    <w:rsid w:val="009375DD"/>
    <w:rsid w:val="00942E46"/>
    <w:rsid w:val="00943414"/>
    <w:rsid w:val="00944596"/>
    <w:rsid w:val="0095413E"/>
    <w:rsid w:val="009542CF"/>
    <w:rsid w:val="00956E9A"/>
    <w:rsid w:val="0096197D"/>
    <w:rsid w:val="00961CA5"/>
    <w:rsid w:val="00961D3B"/>
    <w:rsid w:val="009662BD"/>
    <w:rsid w:val="0096675E"/>
    <w:rsid w:val="00966E57"/>
    <w:rsid w:val="00967309"/>
    <w:rsid w:val="00967DCC"/>
    <w:rsid w:val="00973469"/>
    <w:rsid w:val="0097405D"/>
    <w:rsid w:val="00974312"/>
    <w:rsid w:val="00982B75"/>
    <w:rsid w:val="00983F5B"/>
    <w:rsid w:val="009900F1"/>
    <w:rsid w:val="00990549"/>
    <w:rsid w:val="00992A7E"/>
    <w:rsid w:val="009933F4"/>
    <w:rsid w:val="00996166"/>
    <w:rsid w:val="00996E6A"/>
    <w:rsid w:val="0099777C"/>
    <w:rsid w:val="00997C48"/>
    <w:rsid w:val="009A4E1D"/>
    <w:rsid w:val="009A5F66"/>
    <w:rsid w:val="009A7216"/>
    <w:rsid w:val="009B0742"/>
    <w:rsid w:val="009B2534"/>
    <w:rsid w:val="009B34E6"/>
    <w:rsid w:val="009B355D"/>
    <w:rsid w:val="009B484A"/>
    <w:rsid w:val="009B48E2"/>
    <w:rsid w:val="009B6EB4"/>
    <w:rsid w:val="009B7B22"/>
    <w:rsid w:val="009C12E6"/>
    <w:rsid w:val="009C2ABD"/>
    <w:rsid w:val="009C41CB"/>
    <w:rsid w:val="009C6C9B"/>
    <w:rsid w:val="009D045D"/>
    <w:rsid w:val="009D1175"/>
    <w:rsid w:val="009D18C1"/>
    <w:rsid w:val="009D1BD7"/>
    <w:rsid w:val="009D260A"/>
    <w:rsid w:val="009D291D"/>
    <w:rsid w:val="009D37B5"/>
    <w:rsid w:val="009D4DBA"/>
    <w:rsid w:val="009D603A"/>
    <w:rsid w:val="009D6115"/>
    <w:rsid w:val="009D6B3D"/>
    <w:rsid w:val="009D75CA"/>
    <w:rsid w:val="009E290A"/>
    <w:rsid w:val="009E3D29"/>
    <w:rsid w:val="009E40D0"/>
    <w:rsid w:val="009E7A1B"/>
    <w:rsid w:val="009F1796"/>
    <w:rsid w:val="009F2B6C"/>
    <w:rsid w:val="009F2F36"/>
    <w:rsid w:val="009F3D3D"/>
    <w:rsid w:val="009F5183"/>
    <w:rsid w:val="009F5A41"/>
    <w:rsid w:val="009F68B1"/>
    <w:rsid w:val="00A020A7"/>
    <w:rsid w:val="00A028AA"/>
    <w:rsid w:val="00A10B17"/>
    <w:rsid w:val="00A10E49"/>
    <w:rsid w:val="00A12E57"/>
    <w:rsid w:val="00A131B5"/>
    <w:rsid w:val="00A20D1B"/>
    <w:rsid w:val="00A20DAA"/>
    <w:rsid w:val="00A212A8"/>
    <w:rsid w:val="00A2390D"/>
    <w:rsid w:val="00A255D9"/>
    <w:rsid w:val="00A30105"/>
    <w:rsid w:val="00A309CA"/>
    <w:rsid w:val="00A3120D"/>
    <w:rsid w:val="00A333AC"/>
    <w:rsid w:val="00A35FCF"/>
    <w:rsid w:val="00A361FC"/>
    <w:rsid w:val="00A36430"/>
    <w:rsid w:val="00A36545"/>
    <w:rsid w:val="00A3693D"/>
    <w:rsid w:val="00A44142"/>
    <w:rsid w:val="00A45414"/>
    <w:rsid w:val="00A476E5"/>
    <w:rsid w:val="00A56889"/>
    <w:rsid w:val="00A5726A"/>
    <w:rsid w:val="00A6055E"/>
    <w:rsid w:val="00A62472"/>
    <w:rsid w:val="00A73D84"/>
    <w:rsid w:val="00A73ED9"/>
    <w:rsid w:val="00A740DF"/>
    <w:rsid w:val="00A76EA4"/>
    <w:rsid w:val="00A80AB8"/>
    <w:rsid w:val="00A81872"/>
    <w:rsid w:val="00A83C2F"/>
    <w:rsid w:val="00A90200"/>
    <w:rsid w:val="00A90B7F"/>
    <w:rsid w:val="00A9121E"/>
    <w:rsid w:val="00A922B5"/>
    <w:rsid w:val="00A95EC0"/>
    <w:rsid w:val="00A96147"/>
    <w:rsid w:val="00AA11F9"/>
    <w:rsid w:val="00AA7602"/>
    <w:rsid w:val="00AB0196"/>
    <w:rsid w:val="00AB2160"/>
    <w:rsid w:val="00AB2515"/>
    <w:rsid w:val="00AB40B8"/>
    <w:rsid w:val="00AB43C5"/>
    <w:rsid w:val="00AB5A80"/>
    <w:rsid w:val="00AB5CDB"/>
    <w:rsid w:val="00AB5D8B"/>
    <w:rsid w:val="00AB70D4"/>
    <w:rsid w:val="00AB76B8"/>
    <w:rsid w:val="00AC271C"/>
    <w:rsid w:val="00AC3A13"/>
    <w:rsid w:val="00AC46EF"/>
    <w:rsid w:val="00AC5C24"/>
    <w:rsid w:val="00AD16DA"/>
    <w:rsid w:val="00AD182D"/>
    <w:rsid w:val="00AD5C8E"/>
    <w:rsid w:val="00AD7889"/>
    <w:rsid w:val="00AE2EC2"/>
    <w:rsid w:val="00AE4C4B"/>
    <w:rsid w:val="00AF053D"/>
    <w:rsid w:val="00AF0AE0"/>
    <w:rsid w:val="00AF0AFD"/>
    <w:rsid w:val="00AF0D4D"/>
    <w:rsid w:val="00AF2BEC"/>
    <w:rsid w:val="00AF3CA3"/>
    <w:rsid w:val="00AF55F3"/>
    <w:rsid w:val="00B00035"/>
    <w:rsid w:val="00B00692"/>
    <w:rsid w:val="00B0168D"/>
    <w:rsid w:val="00B02117"/>
    <w:rsid w:val="00B0388A"/>
    <w:rsid w:val="00B10D69"/>
    <w:rsid w:val="00B11415"/>
    <w:rsid w:val="00B12073"/>
    <w:rsid w:val="00B14523"/>
    <w:rsid w:val="00B1519B"/>
    <w:rsid w:val="00B15E22"/>
    <w:rsid w:val="00B20778"/>
    <w:rsid w:val="00B21212"/>
    <w:rsid w:val="00B22691"/>
    <w:rsid w:val="00B27027"/>
    <w:rsid w:val="00B271AA"/>
    <w:rsid w:val="00B27A98"/>
    <w:rsid w:val="00B31F9E"/>
    <w:rsid w:val="00B361E0"/>
    <w:rsid w:val="00B366AC"/>
    <w:rsid w:val="00B37BAB"/>
    <w:rsid w:val="00B4051D"/>
    <w:rsid w:val="00B427AE"/>
    <w:rsid w:val="00B433FA"/>
    <w:rsid w:val="00B43F4D"/>
    <w:rsid w:val="00B457B0"/>
    <w:rsid w:val="00B46761"/>
    <w:rsid w:val="00B46DA3"/>
    <w:rsid w:val="00B5028A"/>
    <w:rsid w:val="00B53054"/>
    <w:rsid w:val="00B53851"/>
    <w:rsid w:val="00B6108C"/>
    <w:rsid w:val="00B61A62"/>
    <w:rsid w:val="00B64D1D"/>
    <w:rsid w:val="00B70D9D"/>
    <w:rsid w:val="00B74FF0"/>
    <w:rsid w:val="00B75596"/>
    <w:rsid w:val="00B802BC"/>
    <w:rsid w:val="00B80EA4"/>
    <w:rsid w:val="00B81C8B"/>
    <w:rsid w:val="00B823FB"/>
    <w:rsid w:val="00B84449"/>
    <w:rsid w:val="00B85EFA"/>
    <w:rsid w:val="00B865C5"/>
    <w:rsid w:val="00B90C14"/>
    <w:rsid w:val="00B91E00"/>
    <w:rsid w:val="00B92983"/>
    <w:rsid w:val="00B9300E"/>
    <w:rsid w:val="00B93DCA"/>
    <w:rsid w:val="00B9407B"/>
    <w:rsid w:val="00B958C1"/>
    <w:rsid w:val="00B95E68"/>
    <w:rsid w:val="00B96F88"/>
    <w:rsid w:val="00B97821"/>
    <w:rsid w:val="00BA0739"/>
    <w:rsid w:val="00BA313D"/>
    <w:rsid w:val="00BA32B8"/>
    <w:rsid w:val="00BA74A7"/>
    <w:rsid w:val="00BB2DAE"/>
    <w:rsid w:val="00BB445E"/>
    <w:rsid w:val="00BB47A6"/>
    <w:rsid w:val="00BB624A"/>
    <w:rsid w:val="00BB702D"/>
    <w:rsid w:val="00BC05C3"/>
    <w:rsid w:val="00BC3662"/>
    <w:rsid w:val="00BC4363"/>
    <w:rsid w:val="00BC51AF"/>
    <w:rsid w:val="00BC564B"/>
    <w:rsid w:val="00BC5DE7"/>
    <w:rsid w:val="00BC6B56"/>
    <w:rsid w:val="00BD0B86"/>
    <w:rsid w:val="00BD135A"/>
    <w:rsid w:val="00BD2D95"/>
    <w:rsid w:val="00BD5DC5"/>
    <w:rsid w:val="00BD7AA2"/>
    <w:rsid w:val="00BE033D"/>
    <w:rsid w:val="00BE0C26"/>
    <w:rsid w:val="00BE0C74"/>
    <w:rsid w:val="00BE2411"/>
    <w:rsid w:val="00BE253F"/>
    <w:rsid w:val="00BE39F4"/>
    <w:rsid w:val="00BE4182"/>
    <w:rsid w:val="00BE5C00"/>
    <w:rsid w:val="00BE5D4C"/>
    <w:rsid w:val="00BE73E9"/>
    <w:rsid w:val="00BF0451"/>
    <w:rsid w:val="00BF08F0"/>
    <w:rsid w:val="00BF6A10"/>
    <w:rsid w:val="00BF7069"/>
    <w:rsid w:val="00C03441"/>
    <w:rsid w:val="00C049E8"/>
    <w:rsid w:val="00C07F8B"/>
    <w:rsid w:val="00C15388"/>
    <w:rsid w:val="00C1598E"/>
    <w:rsid w:val="00C1612B"/>
    <w:rsid w:val="00C16FBF"/>
    <w:rsid w:val="00C17B0A"/>
    <w:rsid w:val="00C22483"/>
    <w:rsid w:val="00C229BD"/>
    <w:rsid w:val="00C25155"/>
    <w:rsid w:val="00C258E5"/>
    <w:rsid w:val="00C25A1C"/>
    <w:rsid w:val="00C273E5"/>
    <w:rsid w:val="00C30E95"/>
    <w:rsid w:val="00C310EC"/>
    <w:rsid w:val="00C31A62"/>
    <w:rsid w:val="00C322EF"/>
    <w:rsid w:val="00C323F9"/>
    <w:rsid w:val="00C3382D"/>
    <w:rsid w:val="00C34F3E"/>
    <w:rsid w:val="00C36580"/>
    <w:rsid w:val="00C37266"/>
    <w:rsid w:val="00C41147"/>
    <w:rsid w:val="00C4140A"/>
    <w:rsid w:val="00C414FF"/>
    <w:rsid w:val="00C4482B"/>
    <w:rsid w:val="00C44C42"/>
    <w:rsid w:val="00C45B83"/>
    <w:rsid w:val="00C53A1D"/>
    <w:rsid w:val="00C54346"/>
    <w:rsid w:val="00C5755F"/>
    <w:rsid w:val="00C607D5"/>
    <w:rsid w:val="00C6233F"/>
    <w:rsid w:val="00C63795"/>
    <w:rsid w:val="00C63E3B"/>
    <w:rsid w:val="00C63E98"/>
    <w:rsid w:val="00C648CF"/>
    <w:rsid w:val="00C66EDC"/>
    <w:rsid w:val="00C6712F"/>
    <w:rsid w:val="00C672CA"/>
    <w:rsid w:val="00C67D42"/>
    <w:rsid w:val="00C73C1E"/>
    <w:rsid w:val="00C73FA3"/>
    <w:rsid w:val="00C766DB"/>
    <w:rsid w:val="00C77B6A"/>
    <w:rsid w:val="00C77B9D"/>
    <w:rsid w:val="00C801FD"/>
    <w:rsid w:val="00C80429"/>
    <w:rsid w:val="00C81ACE"/>
    <w:rsid w:val="00C832BE"/>
    <w:rsid w:val="00C8447C"/>
    <w:rsid w:val="00C84B12"/>
    <w:rsid w:val="00C851AF"/>
    <w:rsid w:val="00C85907"/>
    <w:rsid w:val="00C85C59"/>
    <w:rsid w:val="00C91457"/>
    <w:rsid w:val="00C92ABC"/>
    <w:rsid w:val="00C92BC2"/>
    <w:rsid w:val="00C92E56"/>
    <w:rsid w:val="00C949A7"/>
    <w:rsid w:val="00C9612B"/>
    <w:rsid w:val="00CA3023"/>
    <w:rsid w:val="00CA556A"/>
    <w:rsid w:val="00CA7259"/>
    <w:rsid w:val="00CA7928"/>
    <w:rsid w:val="00CB487C"/>
    <w:rsid w:val="00CB5017"/>
    <w:rsid w:val="00CB577F"/>
    <w:rsid w:val="00CB6484"/>
    <w:rsid w:val="00CC0941"/>
    <w:rsid w:val="00CC0A85"/>
    <w:rsid w:val="00CC39BE"/>
    <w:rsid w:val="00CC3CDD"/>
    <w:rsid w:val="00CC406F"/>
    <w:rsid w:val="00CC5A4F"/>
    <w:rsid w:val="00CC7D40"/>
    <w:rsid w:val="00CD00D0"/>
    <w:rsid w:val="00CD05E8"/>
    <w:rsid w:val="00CD2117"/>
    <w:rsid w:val="00CD5510"/>
    <w:rsid w:val="00CD5538"/>
    <w:rsid w:val="00CD5E4A"/>
    <w:rsid w:val="00CD6F2F"/>
    <w:rsid w:val="00CD77E0"/>
    <w:rsid w:val="00CD7909"/>
    <w:rsid w:val="00CE16D5"/>
    <w:rsid w:val="00CE3C60"/>
    <w:rsid w:val="00CF0607"/>
    <w:rsid w:val="00CF093B"/>
    <w:rsid w:val="00CF0CFB"/>
    <w:rsid w:val="00CF179F"/>
    <w:rsid w:val="00CF2670"/>
    <w:rsid w:val="00CF35BD"/>
    <w:rsid w:val="00CF4483"/>
    <w:rsid w:val="00CF6D93"/>
    <w:rsid w:val="00CF78BC"/>
    <w:rsid w:val="00CF7E56"/>
    <w:rsid w:val="00D0115B"/>
    <w:rsid w:val="00D02032"/>
    <w:rsid w:val="00D0422C"/>
    <w:rsid w:val="00D04BDB"/>
    <w:rsid w:val="00D04FAA"/>
    <w:rsid w:val="00D10A8A"/>
    <w:rsid w:val="00D11383"/>
    <w:rsid w:val="00D11CAF"/>
    <w:rsid w:val="00D14AF2"/>
    <w:rsid w:val="00D17739"/>
    <w:rsid w:val="00D241DD"/>
    <w:rsid w:val="00D2580F"/>
    <w:rsid w:val="00D25C5E"/>
    <w:rsid w:val="00D30AA2"/>
    <w:rsid w:val="00D34870"/>
    <w:rsid w:val="00D35005"/>
    <w:rsid w:val="00D41721"/>
    <w:rsid w:val="00D4197B"/>
    <w:rsid w:val="00D4225F"/>
    <w:rsid w:val="00D441D4"/>
    <w:rsid w:val="00D45313"/>
    <w:rsid w:val="00D5181E"/>
    <w:rsid w:val="00D55BC4"/>
    <w:rsid w:val="00D57695"/>
    <w:rsid w:val="00D60532"/>
    <w:rsid w:val="00D60681"/>
    <w:rsid w:val="00D616E4"/>
    <w:rsid w:val="00D6199F"/>
    <w:rsid w:val="00D61FCB"/>
    <w:rsid w:val="00D6229B"/>
    <w:rsid w:val="00D63783"/>
    <w:rsid w:val="00D6523E"/>
    <w:rsid w:val="00D6699F"/>
    <w:rsid w:val="00D6718A"/>
    <w:rsid w:val="00D73306"/>
    <w:rsid w:val="00D73518"/>
    <w:rsid w:val="00D738BC"/>
    <w:rsid w:val="00D74342"/>
    <w:rsid w:val="00D75503"/>
    <w:rsid w:val="00D766AF"/>
    <w:rsid w:val="00D77D43"/>
    <w:rsid w:val="00D80DF3"/>
    <w:rsid w:val="00D81198"/>
    <w:rsid w:val="00D81D45"/>
    <w:rsid w:val="00D836FD"/>
    <w:rsid w:val="00D84EFD"/>
    <w:rsid w:val="00D864F3"/>
    <w:rsid w:val="00D87881"/>
    <w:rsid w:val="00D878D3"/>
    <w:rsid w:val="00D878FE"/>
    <w:rsid w:val="00D91390"/>
    <w:rsid w:val="00D91AC5"/>
    <w:rsid w:val="00D95B42"/>
    <w:rsid w:val="00DA0D83"/>
    <w:rsid w:val="00DA22E0"/>
    <w:rsid w:val="00DA6BAB"/>
    <w:rsid w:val="00DA7461"/>
    <w:rsid w:val="00DA759B"/>
    <w:rsid w:val="00DA77C6"/>
    <w:rsid w:val="00DB42AF"/>
    <w:rsid w:val="00DB4EA7"/>
    <w:rsid w:val="00DB54B1"/>
    <w:rsid w:val="00DB6A21"/>
    <w:rsid w:val="00DC0E23"/>
    <w:rsid w:val="00DC2652"/>
    <w:rsid w:val="00DC3BA3"/>
    <w:rsid w:val="00DC4944"/>
    <w:rsid w:val="00DC6423"/>
    <w:rsid w:val="00DC6EB4"/>
    <w:rsid w:val="00DC6FCF"/>
    <w:rsid w:val="00DC7F6B"/>
    <w:rsid w:val="00DD7442"/>
    <w:rsid w:val="00DE3BBD"/>
    <w:rsid w:val="00DE3F71"/>
    <w:rsid w:val="00DF0099"/>
    <w:rsid w:val="00DF1C38"/>
    <w:rsid w:val="00DF45BF"/>
    <w:rsid w:val="00DF46C2"/>
    <w:rsid w:val="00DF6B0F"/>
    <w:rsid w:val="00E00598"/>
    <w:rsid w:val="00E01554"/>
    <w:rsid w:val="00E02612"/>
    <w:rsid w:val="00E029CA"/>
    <w:rsid w:val="00E03C5C"/>
    <w:rsid w:val="00E042EB"/>
    <w:rsid w:val="00E0484A"/>
    <w:rsid w:val="00E049CA"/>
    <w:rsid w:val="00E13528"/>
    <w:rsid w:val="00E143A6"/>
    <w:rsid w:val="00E14BD8"/>
    <w:rsid w:val="00E207B4"/>
    <w:rsid w:val="00E20FE9"/>
    <w:rsid w:val="00E21ED2"/>
    <w:rsid w:val="00E230AD"/>
    <w:rsid w:val="00E231CE"/>
    <w:rsid w:val="00E236A3"/>
    <w:rsid w:val="00E2521B"/>
    <w:rsid w:val="00E25DF9"/>
    <w:rsid w:val="00E264D2"/>
    <w:rsid w:val="00E274B7"/>
    <w:rsid w:val="00E3081F"/>
    <w:rsid w:val="00E3114A"/>
    <w:rsid w:val="00E32030"/>
    <w:rsid w:val="00E32BFF"/>
    <w:rsid w:val="00E34374"/>
    <w:rsid w:val="00E347D9"/>
    <w:rsid w:val="00E3553B"/>
    <w:rsid w:val="00E404ED"/>
    <w:rsid w:val="00E416E4"/>
    <w:rsid w:val="00E41C27"/>
    <w:rsid w:val="00E430CA"/>
    <w:rsid w:val="00E43710"/>
    <w:rsid w:val="00E43DC7"/>
    <w:rsid w:val="00E459B0"/>
    <w:rsid w:val="00E4670C"/>
    <w:rsid w:val="00E47B9A"/>
    <w:rsid w:val="00E50171"/>
    <w:rsid w:val="00E53924"/>
    <w:rsid w:val="00E55437"/>
    <w:rsid w:val="00E566F6"/>
    <w:rsid w:val="00E579D4"/>
    <w:rsid w:val="00E57BDE"/>
    <w:rsid w:val="00E60017"/>
    <w:rsid w:val="00E60993"/>
    <w:rsid w:val="00E61987"/>
    <w:rsid w:val="00E66851"/>
    <w:rsid w:val="00E716F6"/>
    <w:rsid w:val="00E73247"/>
    <w:rsid w:val="00E73468"/>
    <w:rsid w:val="00E73925"/>
    <w:rsid w:val="00E750C4"/>
    <w:rsid w:val="00E754B8"/>
    <w:rsid w:val="00E7580E"/>
    <w:rsid w:val="00E7770C"/>
    <w:rsid w:val="00E8230E"/>
    <w:rsid w:val="00E82F2D"/>
    <w:rsid w:val="00E82FF9"/>
    <w:rsid w:val="00E84224"/>
    <w:rsid w:val="00E84F60"/>
    <w:rsid w:val="00E85992"/>
    <w:rsid w:val="00E8684B"/>
    <w:rsid w:val="00E86969"/>
    <w:rsid w:val="00E870E8"/>
    <w:rsid w:val="00E87373"/>
    <w:rsid w:val="00E87A13"/>
    <w:rsid w:val="00E905CB"/>
    <w:rsid w:val="00E912C6"/>
    <w:rsid w:val="00E92D7B"/>
    <w:rsid w:val="00E94831"/>
    <w:rsid w:val="00E9531B"/>
    <w:rsid w:val="00E97AB3"/>
    <w:rsid w:val="00EA137A"/>
    <w:rsid w:val="00EA2BE7"/>
    <w:rsid w:val="00EA2F85"/>
    <w:rsid w:val="00EB139C"/>
    <w:rsid w:val="00EB6529"/>
    <w:rsid w:val="00EB7258"/>
    <w:rsid w:val="00EC0C0F"/>
    <w:rsid w:val="00EC3BBB"/>
    <w:rsid w:val="00EC4AE1"/>
    <w:rsid w:val="00EC4B2E"/>
    <w:rsid w:val="00ED374F"/>
    <w:rsid w:val="00ED7100"/>
    <w:rsid w:val="00EE0CF1"/>
    <w:rsid w:val="00EE400E"/>
    <w:rsid w:val="00EE4AA5"/>
    <w:rsid w:val="00EE503C"/>
    <w:rsid w:val="00EE51DB"/>
    <w:rsid w:val="00EE5CFA"/>
    <w:rsid w:val="00EE64A1"/>
    <w:rsid w:val="00EE76F1"/>
    <w:rsid w:val="00EE7C71"/>
    <w:rsid w:val="00EF05F4"/>
    <w:rsid w:val="00EF25CA"/>
    <w:rsid w:val="00EF30A1"/>
    <w:rsid w:val="00EF3B63"/>
    <w:rsid w:val="00EF642C"/>
    <w:rsid w:val="00F0064C"/>
    <w:rsid w:val="00F02C32"/>
    <w:rsid w:val="00F035B4"/>
    <w:rsid w:val="00F0369C"/>
    <w:rsid w:val="00F03F5F"/>
    <w:rsid w:val="00F0792B"/>
    <w:rsid w:val="00F07A88"/>
    <w:rsid w:val="00F10CCD"/>
    <w:rsid w:val="00F135A8"/>
    <w:rsid w:val="00F1663B"/>
    <w:rsid w:val="00F20E21"/>
    <w:rsid w:val="00F22F48"/>
    <w:rsid w:val="00F26271"/>
    <w:rsid w:val="00F338DE"/>
    <w:rsid w:val="00F33D6E"/>
    <w:rsid w:val="00F33E6B"/>
    <w:rsid w:val="00F34834"/>
    <w:rsid w:val="00F34AB7"/>
    <w:rsid w:val="00F3534E"/>
    <w:rsid w:val="00F4244D"/>
    <w:rsid w:val="00F43AA1"/>
    <w:rsid w:val="00F44C33"/>
    <w:rsid w:val="00F47658"/>
    <w:rsid w:val="00F50252"/>
    <w:rsid w:val="00F52430"/>
    <w:rsid w:val="00F5245A"/>
    <w:rsid w:val="00F52B79"/>
    <w:rsid w:val="00F52E43"/>
    <w:rsid w:val="00F5339F"/>
    <w:rsid w:val="00F53809"/>
    <w:rsid w:val="00F53F74"/>
    <w:rsid w:val="00F54FBF"/>
    <w:rsid w:val="00F556D0"/>
    <w:rsid w:val="00F56ED6"/>
    <w:rsid w:val="00F615CB"/>
    <w:rsid w:val="00F61FB3"/>
    <w:rsid w:val="00F6256E"/>
    <w:rsid w:val="00F64118"/>
    <w:rsid w:val="00F6683F"/>
    <w:rsid w:val="00F67F26"/>
    <w:rsid w:val="00F70BA8"/>
    <w:rsid w:val="00F71CCC"/>
    <w:rsid w:val="00F72D47"/>
    <w:rsid w:val="00F73D8C"/>
    <w:rsid w:val="00F748BC"/>
    <w:rsid w:val="00F75B18"/>
    <w:rsid w:val="00F75D9E"/>
    <w:rsid w:val="00F76F53"/>
    <w:rsid w:val="00F76FC3"/>
    <w:rsid w:val="00F770DA"/>
    <w:rsid w:val="00F77C3F"/>
    <w:rsid w:val="00F80070"/>
    <w:rsid w:val="00F80211"/>
    <w:rsid w:val="00F81535"/>
    <w:rsid w:val="00F81C3B"/>
    <w:rsid w:val="00F82762"/>
    <w:rsid w:val="00F85205"/>
    <w:rsid w:val="00F87E9F"/>
    <w:rsid w:val="00F912F8"/>
    <w:rsid w:val="00F915EF"/>
    <w:rsid w:val="00F92BF3"/>
    <w:rsid w:val="00F92EF4"/>
    <w:rsid w:val="00F92EF8"/>
    <w:rsid w:val="00F94329"/>
    <w:rsid w:val="00F95AFF"/>
    <w:rsid w:val="00F971BD"/>
    <w:rsid w:val="00FA1D22"/>
    <w:rsid w:val="00FA1FA6"/>
    <w:rsid w:val="00FA3FD9"/>
    <w:rsid w:val="00FA4D5E"/>
    <w:rsid w:val="00FA654E"/>
    <w:rsid w:val="00FB234E"/>
    <w:rsid w:val="00FB3AB0"/>
    <w:rsid w:val="00FB4C76"/>
    <w:rsid w:val="00FB4D06"/>
    <w:rsid w:val="00FB4D44"/>
    <w:rsid w:val="00FB5668"/>
    <w:rsid w:val="00FC12E6"/>
    <w:rsid w:val="00FC5267"/>
    <w:rsid w:val="00FC58FD"/>
    <w:rsid w:val="00FC6063"/>
    <w:rsid w:val="00FD0FFD"/>
    <w:rsid w:val="00FD1DA5"/>
    <w:rsid w:val="00FD48EC"/>
    <w:rsid w:val="00FD4CDA"/>
    <w:rsid w:val="00FD50B9"/>
    <w:rsid w:val="00FD76DC"/>
    <w:rsid w:val="00FE1374"/>
    <w:rsid w:val="00FE16C9"/>
    <w:rsid w:val="00FE179B"/>
    <w:rsid w:val="00FE53AE"/>
    <w:rsid w:val="00FF0716"/>
    <w:rsid w:val="00FF087A"/>
    <w:rsid w:val="00FF0F8C"/>
    <w:rsid w:val="00FF1128"/>
    <w:rsid w:val="00FF2A65"/>
    <w:rsid w:val="00FF2E2A"/>
    <w:rsid w:val="00FF5491"/>
    <w:rsid w:val="00FF5F46"/>
    <w:rsid w:val="00FF64F6"/>
    <w:rsid w:val="00FF72C9"/>
    <w:rsid w:val="00FF7CE3"/>
    <w:rsid w:val="02475B2E"/>
    <w:rsid w:val="07CD6747"/>
    <w:rsid w:val="095D29FE"/>
    <w:rsid w:val="0EBB4EB8"/>
    <w:rsid w:val="0F6D7361"/>
    <w:rsid w:val="12454458"/>
    <w:rsid w:val="135A6E34"/>
    <w:rsid w:val="137C4C90"/>
    <w:rsid w:val="14A16042"/>
    <w:rsid w:val="15B16E52"/>
    <w:rsid w:val="17936518"/>
    <w:rsid w:val="188F2B7F"/>
    <w:rsid w:val="1C454940"/>
    <w:rsid w:val="1CB945EC"/>
    <w:rsid w:val="1F273D95"/>
    <w:rsid w:val="20434EB2"/>
    <w:rsid w:val="284F6A91"/>
    <w:rsid w:val="2D312908"/>
    <w:rsid w:val="2DC80CF8"/>
    <w:rsid w:val="2F811D3A"/>
    <w:rsid w:val="30C56247"/>
    <w:rsid w:val="30C740A5"/>
    <w:rsid w:val="3110728D"/>
    <w:rsid w:val="31BD3BCA"/>
    <w:rsid w:val="323B3376"/>
    <w:rsid w:val="37C92F52"/>
    <w:rsid w:val="3810448A"/>
    <w:rsid w:val="3B7F4248"/>
    <w:rsid w:val="3BD35537"/>
    <w:rsid w:val="3D3C27F7"/>
    <w:rsid w:val="3DF069AC"/>
    <w:rsid w:val="3EC66B1F"/>
    <w:rsid w:val="3EDD5CD2"/>
    <w:rsid w:val="40087616"/>
    <w:rsid w:val="408813CB"/>
    <w:rsid w:val="43251D66"/>
    <w:rsid w:val="435B6BC1"/>
    <w:rsid w:val="44770F0F"/>
    <w:rsid w:val="45911DDC"/>
    <w:rsid w:val="4C166669"/>
    <w:rsid w:val="4C390666"/>
    <w:rsid w:val="52F07F57"/>
    <w:rsid w:val="534D757C"/>
    <w:rsid w:val="60676A1E"/>
    <w:rsid w:val="63156186"/>
    <w:rsid w:val="687C26CB"/>
    <w:rsid w:val="689A0992"/>
    <w:rsid w:val="68A46D1D"/>
    <w:rsid w:val="6BBD72B6"/>
    <w:rsid w:val="6D822F3C"/>
    <w:rsid w:val="6EF33E82"/>
    <w:rsid w:val="6F961D3B"/>
    <w:rsid w:val="71A77D57"/>
    <w:rsid w:val="73EB3D84"/>
    <w:rsid w:val="765B1C41"/>
    <w:rsid w:val="78335067"/>
    <w:rsid w:val="78C465FA"/>
    <w:rsid w:val="7931701A"/>
    <w:rsid w:val="794E0621"/>
    <w:rsid w:val="7FDB1D26"/>
    <w:rsid w:val="EBFF1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0"/>
    <w:pPr>
      <w:keepNext/>
      <w:keepLines/>
      <w:spacing w:before="120" w:after="120"/>
      <w:outlineLvl w:val="1"/>
    </w:pPr>
    <w:rPr>
      <w:rFonts w:eastAsia="黑体" w:asciiTheme="majorHAnsi" w:hAnsiTheme="majorHAnsi" w:cstheme="majorBidi"/>
      <w:bCs/>
      <w:szCs w:val="32"/>
    </w:rPr>
  </w:style>
  <w:style w:type="paragraph" w:styleId="4">
    <w:name w:val="heading 3"/>
    <w:basedOn w:val="1"/>
    <w:next w:val="1"/>
    <w:link w:val="39"/>
    <w:unhideWhenUsed/>
    <w:qFormat/>
    <w:uiPriority w:val="9"/>
    <w:pPr>
      <w:keepNext/>
      <w:keepLines/>
      <w:spacing w:before="50" w:beforeLines="50"/>
      <w:outlineLvl w:val="2"/>
    </w:pPr>
    <w:rPr>
      <w:rFonts w:eastAsia="楷体_GB2312"/>
      <w:bCs/>
      <w:szCs w:val="32"/>
    </w:rPr>
  </w:style>
  <w:style w:type="paragraph" w:styleId="5">
    <w:name w:val="heading 4"/>
    <w:basedOn w:val="1"/>
    <w:next w:val="1"/>
    <w:link w:val="40"/>
    <w:unhideWhenUsed/>
    <w:qFormat/>
    <w:uiPriority w:val="9"/>
    <w:pPr>
      <w:keepNext/>
      <w:keepLines/>
      <w:outlineLvl w:val="3"/>
    </w:pPr>
    <w:rPr>
      <w:rFonts w:eastAsia="仿宋_GB2312" w:cstheme="majorBidi"/>
      <w:bCs/>
      <w:szCs w:val="28"/>
    </w:rPr>
  </w:style>
  <w:style w:type="paragraph" w:styleId="6">
    <w:name w:val="heading 5"/>
    <w:basedOn w:val="1"/>
    <w:next w:val="1"/>
    <w:link w:val="48"/>
    <w:unhideWhenUsed/>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Document Map"/>
    <w:basedOn w:val="1"/>
    <w:link w:val="41"/>
    <w:semiHidden/>
    <w:unhideWhenUsed/>
    <w:qFormat/>
    <w:uiPriority w:val="99"/>
    <w:rPr>
      <w:rFonts w:ascii="宋体" w:eastAsia="宋体"/>
      <w:sz w:val="18"/>
      <w:szCs w:val="18"/>
    </w:rPr>
  </w:style>
  <w:style w:type="paragraph" w:styleId="9">
    <w:name w:val="annotation text"/>
    <w:basedOn w:val="1"/>
    <w:link w:val="51"/>
    <w:semiHidden/>
    <w:unhideWhenUsed/>
    <w:qFormat/>
    <w:uiPriority w:val="99"/>
    <w:pPr>
      <w:jc w:val="left"/>
    </w:pPr>
  </w:style>
  <w:style w:type="paragraph" w:styleId="10">
    <w:name w:val="Body Text"/>
    <w:basedOn w:val="1"/>
    <w:link w:val="55"/>
    <w:unhideWhenUsed/>
    <w:qFormat/>
    <w:uiPriority w:val="99"/>
    <w:pPr>
      <w:spacing w:after="120"/>
    </w:pPr>
  </w:style>
  <w:style w:type="paragraph" w:styleId="11">
    <w:name w:val="Body Text Indent"/>
    <w:basedOn w:val="1"/>
    <w:link w:val="46"/>
    <w:qFormat/>
    <w:uiPriority w:val="0"/>
    <w:pPr>
      <w:ind w:firstLine="720" w:firstLineChars="225"/>
    </w:pPr>
    <w:rPr>
      <w:rFonts w:eastAsia="宋体" w:cs="Times New Roman"/>
      <w:szCs w:val="20"/>
    </w:rPr>
  </w:style>
  <w:style w:type="paragraph" w:styleId="12">
    <w:name w:val="toc 5"/>
    <w:basedOn w:val="1"/>
    <w:next w:val="1"/>
    <w:unhideWhenUsed/>
    <w:qFormat/>
    <w:uiPriority w:val="39"/>
    <w:pPr>
      <w:ind w:left="840"/>
      <w:jc w:val="left"/>
    </w:pPr>
    <w:rPr>
      <w:sz w:val="18"/>
      <w:szCs w:val="18"/>
    </w:rPr>
  </w:style>
  <w:style w:type="paragraph" w:styleId="13">
    <w:name w:val="toc 3"/>
    <w:basedOn w:val="1"/>
    <w:next w:val="1"/>
    <w:unhideWhenUsed/>
    <w:qFormat/>
    <w:uiPriority w:val="39"/>
    <w:pPr>
      <w:ind w:left="420"/>
      <w:jc w:val="left"/>
    </w:pPr>
    <w:rPr>
      <w:i/>
      <w:iCs/>
      <w:sz w:val="20"/>
      <w:szCs w:val="20"/>
    </w:rPr>
  </w:style>
  <w:style w:type="paragraph" w:styleId="14">
    <w:name w:val="toc 8"/>
    <w:basedOn w:val="1"/>
    <w:next w:val="1"/>
    <w:unhideWhenUsed/>
    <w:qFormat/>
    <w:uiPriority w:val="39"/>
    <w:pPr>
      <w:ind w:left="1470"/>
      <w:jc w:val="left"/>
    </w:pPr>
    <w:rPr>
      <w:sz w:val="18"/>
      <w:szCs w:val="18"/>
    </w:rPr>
  </w:style>
  <w:style w:type="paragraph" w:styleId="15">
    <w:name w:val="Balloon Text"/>
    <w:basedOn w:val="1"/>
    <w:link w:val="45"/>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302"/>
      </w:tabs>
      <w:adjustRightInd w:val="0"/>
      <w:snapToGrid w:val="0"/>
      <w:spacing w:before="120" w:after="120" w:line="400" w:lineRule="exact"/>
      <w:jc w:val="left"/>
    </w:pPr>
    <w:rPr>
      <w:rFonts w:eastAsia="黑体" w:cs="Times New Roman"/>
      <w:bCs/>
      <w:caps/>
      <w:sz w:val="28"/>
      <w:szCs w:val="28"/>
      <w:lang w:val="zh-CN"/>
    </w:rPr>
  </w:style>
  <w:style w:type="paragraph" w:styleId="19">
    <w:name w:val="toc 4"/>
    <w:basedOn w:val="1"/>
    <w:next w:val="1"/>
    <w:unhideWhenUsed/>
    <w:qFormat/>
    <w:uiPriority w:val="39"/>
    <w:pPr>
      <w:ind w:left="630"/>
      <w:jc w:val="left"/>
    </w:pPr>
    <w:rPr>
      <w:sz w:val="18"/>
      <w:szCs w:val="18"/>
    </w:rPr>
  </w:style>
  <w:style w:type="paragraph" w:styleId="20">
    <w:name w:val="footnote text"/>
    <w:basedOn w:val="1"/>
    <w:link w:val="47"/>
    <w:qFormat/>
    <w:uiPriority w:val="0"/>
    <w:pPr>
      <w:snapToGrid w:val="0"/>
      <w:jc w:val="left"/>
    </w:pPr>
    <w:rPr>
      <w:rFonts w:eastAsia="宋体" w:cs="Times New Roman"/>
      <w:sz w:val="18"/>
      <w:szCs w:val="24"/>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ind w:left="210"/>
      <w:jc w:val="left"/>
    </w:pPr>
    <w:rPr>
      <w:smallCaps/>
      <w:sz w:val="20"/>
      <w:szCs w:val="20"/>
    </w:rPr>
  </w:style>
  <w:style w:type="paragraph" w:styleId="23">
    <w:name w:val="toc 9"/>
    <w:basedOn w:val="1"/>
    <w:next w:val="1"/>
    <w:unhideWhenUsed/>
    <w:qFormat/>
    <w:uiPriority w:val="39"/>
    <w:pPr>
      <w:ind w:left="1680"/>
      <w:jc w:val="left"/>
    </w:pPr>
    <w:rPr>
      <w:sz w:val="18"/>
      <w:szCs w:val="18"/>
    </w:r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9"/>
    <w:next w:val="9"/>
    <w:link w:val="52"/>
    <w:semiHidden/>
    <w:unhideWhenUsed/>
    <w:qFormat/>
    <w:uiPriority w:val="0"/>
    <w:rPr>
      <w:b/>
      <w:bCs/>
    </w:rPr>
  </w:style>
  <w:style w:type="table" w:styleId="27">
    <w:name w:val="Table Grid"/>
    <w:basedOn w:val="26"/>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character" w:styleId="32">
    <w:name w:val="footnote reference"/>
    <w:qFormat/>
    <w:uiPriority w:val="0"/>
    <w:rPr>
      <w:vertAlign w:val="superscript"/>
    </w:rPr>
  </w:style>
  <w:style w:type="paragraph" w:styleId="33">
    <w:name w:val="List Paragraph"/>
    <w:basedOn w:val="1"/>
    <w:qFormat/>
    <w:uiPriority w:val="34"/>
    <w:pPr>
      <w:ind w:firstLine="420"/>
    </w:pPr>
  </w:style>
  <w:style w:type="paragraph" w:customStyle="1" w:styleId="34">
    <w:name w:val="S-正文"/>
    <w:basedOn w:val="1"/>
    <w:qFormat/>
    <w:uiPriority w:val="0"/>
    <w:rPr>
      <w:rFonts w:eastAsia="宋体" w:cs="Times New Roman"/>
      <w:sz w:val="24"/>
    </w:rPr>
  </w:style>
  <w:style w:type="character" w:customStyle="1" w:styleId="35">
    <w:name w:val="页眉 Char"/>
    <w:basedOn w:val="28"/>
    <w:link w:val="17"/>
    <w:qFormat/>
    <w:uiPriority w:val="99"/>
    <w:rPr>
      <w:sz w:val="18"/>
      <w:szCs w:val="18"/>
    </w:rPr>
  </w:style>
  <w:style w:type="character" w:customStyle="1" w:styleId="36">
    <w:name w:val="页脚 Char"/>
    <w:basedOn w:val="28"/>
    <w:link w:val="16"/>
    <w:qFormat/>
    <w:uiPriority w:val="99"/>
    <w:rPr>
      <w:sz w:val="18"/>
      <w:szCs w:val="18"/>
    </w:rPr>
  </w:style>
  <w:style w:type="character" w:customStyle="1" w:styleId="37">
    <w:name w:val="标题 1 Char"/>
    <w:basedOn w:val="28"/>
    <w:link w:val="2"/>
    <w:qFormat/>
    <w:uiPriority w:val="9"/>
    <w:rPr>
      <w:b/>
      <w:bCs/>
      <w:kern w:val="44"/>
      <w:sz w:val="44"/>
      <w:szCs w:val="44"/>
    </w:rPr>
  </w:style>
  <w:style w:type="character" w:customStyle="1" w:styleId="38">
    <w:name w:val="标题 2 Char"/>
    <w:basedOn w:val="28"/>
    <w:link w:val="3"/>
    <w:qFormat/>
    <w:uiPriority w:val="9"/>
    <w:rPr>
      <w:rFonts w:eastAsia="黑体" w:asciiTheme="majorHAnsi" w:hAnsiTheme="majorHAnsi" w:cstheme="majorBidi"/>
      <w:bCs/>
      <w:kern w:val="2"/>
      <w:sz w:val="32"/>
      <w:szCs w:val="32"/>
    </w:rPr>
  </w:style>
  <w:style w:type="character" w:customStyle="1" w:styleId="39">
    <w:name w:val="标题 3 Char"/>
    <w:basedOn w:val="28"/>
    <w:link w:val="4"/>
    <w:qFormat/>
    <w:uiPriority w:val="9"/>
    <w:rPr>
      <w:rFonts w:ascii="Times New Roman" w:hAnsi="Times New Roman" w:eastAsia="楷体_GB2312"/>
      <w:bCs/>
      <w:kern w:val="2"/>
      <w:sz w:val="32"/>
      <w:szCs w:val="32"/>
    </w:rPr>
  </w:style>
  <w:style w:type="character" w:customStyle="1" w:styleId="40">
    <w:name w:val="标题 4 Char"/>
    <w:basedOn w:val="28"/>
    <w:link w:val="5"/>
    <w:qFormat/>
    <w:uiPriority w:val="9"/>
    <w:rPr>
      <w:rFonts w:ascii="Times New Roman" w:hAnsi="Times New Roman" w:eastAsia="仿宋_GB2312" w:cstheme="majorBidi"/>
      <w:bCs/>
      <w:kern w:val="2"/>
      <w:sz w:val="32"/>
      <w:szCs w:val="28"/>
    </w:rPr>
  </w:style>
  <w:style w:type="character" w:customStyle="1" w:styleId="41">
    <w:name w:val="文档结构图 Char"/>
    <w:basedOn w:val="28"/>
    <w:link w:val="8"/>
    <w:semiHidden/>
    <w:qFormat/>
    <w:uiPriority w:val="99"/>
    <w:rPr>
      <w:rFonts w:ascii="宋体" w:eastAsia="宋体"/>
      <w:sz w:val="18"/>
      <w:szCs w:val="18"/>
    </w:rPr>
  </w:style>
  <w:style w:type="character" w:customStyle="1" w:styleId="42">
    <w:name w:val="font01"/>
    <w:basedOn w:val="28"/>
    <w:qFormat/>
    <w:uiPriority w:val="0"/>
    <w:rPr>
      <w:rFonts w:hint="eastAsia" w:ascii="宋体" w:hAnsi="宋体" w:eastAsia="宋体" w:cs="宋体"/>
      <w:color w:val="000000"/>
      <w:sz w:val="22"/>
      <w:szCs w:val="22"/>
      <w:u w:val="none"/>
    </w:rPr>
  </w:style>
  <w:style w:type="character" w:customStyle="1" w:styleId="43">
    <w:name w:val="font31"/>
    <w:basedOn w:val="28"/>
    <w:qFormat/>
    <w:uiPriority w:val="0"/>
    <w:rPr>
      <w:rFonts w:hint="default" w:ascii="Times New Roman" w:hAnsi="Times New Roman" w:cs="Times New Roman"/>
      <w:color w:val="000000"/>
      <w:sz w:val="22"/>
      <w:szCs w:val="22"/>
      <w:u w:val="none"/>
    </w:rPr>
  </w:style>
  <w:style w:type="character" w:customStyle="1" w:styleId="44">
    <w:name w:val="font21"/>
    <w:basedOn w:val="28"/>
    <w:qFormat/>
    <w:uiPriority w:val="0"/>
    <w:rPr>
      <w:rFonts w:hint="eastAsia" w:ascii="宋体" w:hAnsi="宋体" w:eastAsia="宋体" w:cs="宋体"/>
      <w:color w:val="000000"/>
      <w:sz w:val="22"/>
      <w:szCs w:val="22"/>
      <w:u w:val="none"/>
    </w:rPr>
  </w:style>
  <w:style w:type="character" w:customStyle="1" w:styleId="45">
    <w:name w:val="批注框文本 Char"/>
    <w:basedOn w:val="28"/>
    <w:link w:val="15"/>
    <w:semiHidden/>
    <w:qFormat/>
    <w:uiPriority w:val="99"/>
    <w:rPr>
      <w:sz w:val="18"/>
      <w:szCs w:val="18"/>
    </w:rPr>
  </w:style>
  <w:style w:type="character" w:customStyle="1" w:styleId="46">
    <w:name w:val="正文文本缩进 Char"/>
    <w:basedOn w:val="28"/>
    <w:link w:val="11"/>
    <w:qFormat/>
    <w:uiPriority w:val="0"/>
    <w:rPr>
      <w:rFonts w:ascii="Times New Roman" w:hAnsi="Times New Roman" w:eastAsia="宋体" w:cs="Times New Roman"/>
      <w:sz w:val="32"/>
      <w:szCs w:val="20"/>
    </w:rPr>
  </w:style>
  <w:style w:type="character" w:customStyle="1" w:styleId="47">
    <w:name w:val="脚注文本 Char"/>
    <w:basedOn w:val="28"/>
    <w:link w:val="20"/>
    <w:qFormat/>
    <w:uiPriority w:val="0"/>
    <w:rPr>
      <w:rFonts w:ascii="Times New Roman" w:hAnsi="Times New Roman" w:eastAsia="宋体" w:cs="Times New Roman"/>
      <w:sz w:val="18"/>
      <w:szCs w:val="24"/>
    </w:rPr>
  </w:style>
  <w:style w:type="character" w:customStyle="1" w:styleId="48">
    <w:name w:val="标题 5 Char"/>
    <w:basedOn w:val="28"/>
    <w:link w:val="6"/>
    <w:qFormat/>
    <w:uiPriority w:val="9"/>
    <w:rPr>
      <w:b/>
      <w:bCs/>
      <w:sz w:val="28"/>
      <w:szCs w:val="28"/>
    </w:rPr>
  </w:style>
  <w:style w:type="paragraph" w:styleId="4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50">
    <w:name w:val="NormalCharacter"/>
    <w:qFormat/>
    <w:uiPriority w:val="0"/>
  </w:style>
  <w:style w:type="character" w:customStyle="1" w:styleId="51">
    <w:name w:val="批注文字 Char"/>
    <w:basedOn w:val="28"/>
    <w:link w:val="9"/>
    <w:semiHidden/>
    <w:qFormat/>
    <w:uiPriority w:val="99"/>
  </w:style>
  <w:style w:type="character" w:customStyle="1" w:styleId="52">
    <w:name w:val="批注主题 Char"/>
    <w:basedOn w:val="51"/>
    <w:link w:val="25"/>
    <w:semiHidden/>
    <w:qFormat/>
    <w:uiPriority w:val="0"/>
    <w:rPr>
      <w:b/>
      <w:bCs/>
    </w:rPr>
  </w:style>
  <w:style w:type="paragraph" w:customStyle="1" w:styleId="5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4">
    <w:name w:val="UserStyle_3"/>
    <w:qFormat/>
    <w:uiPriority w:val="0"/>
    <w:pPr>
      <w:spacing w:line="300" w:lineRule="auto"/>
      <w:ind w:firstLine="480" w:firstLineChars="200"/>
      <w:jc w:val="both"/>
      <w:textAlignment w:val="baseline"/>
    </w:pPr>
    <w:rPr>
      <w:rFonts w:ascii="Times New Roman" w:hAnsi="Times New Roman" w:eastAsia="宋体" w:cs="Times New Roman"/>
      <w:bCs/>
      <w:kern w:val="2"/>
      <w:sz w:val="24"/>
      <w:szCs w:val="30"/>
      <w:lang w:val="en-US" w:eastAsia="zh-CN" w:bidi="ar-SA"/>
    </w:rPr>
  </w:style>
  <w:style w:type="character" w:customStyle="1" w:styleId="55">
    <w:name w:val="正文文本 Char"/>
    <w:basedOn w:val="28"/>
    <w:link w:val="10"/>
    <w:qFormat/>
    <w:uiPriority w:val="99"/>
  </w:style>
  <w:style w:type="character" w:customStyle="1" w:styleId="56">
    <w:name w:val="标题 1 Char1"/>
    <w:qFormat/>
    <w:uiPriority w:val="0"/>
    <w:rPr>
      <w:rFonts w:eastAsia="黑体"/>
      <w:bCs/>
      <w:kern w:val="44"/>
      <w:sz w:val="32"/>
      <w:szCs w:val="44"/>
      <w:lang w:val="zh-CN" w:eastAsia="zh-CN"/>
    </w:rPr>
  </w:style>
  <w:style w:type="paragraph" w:customStyle="1" w:styleId="57">
    <w:name w:val="表头1"/>
    <w:basedOn w:val="1"/>
    <w:link w:val="58"/>
    <w:qFormat/>
    <w:uiPriority w:val="0"/>
    <w:pPr>
      <w:keepNext/>
      <w:spacing w:before="156" w:beforeLines="50" w:after="156" w:afterLines="50" w:line="240" w:lineRule="auto"/>
      <w:ind w:firstLine="0" w:firstLineChars="0"/>
      <w:jc w:val="center"/>
    </w:pPr>
    <w:rPr>
      <w:rFonts w:eastAsia="黑体" w:cs="Times New Roman"/>
      <w:sz w:val="24"/>
      <w:szCs w:val="32"/>
    </w:rPr>
  </w:style>
  <w:style w:type="character" w:customStyle="1" w:styleId="58">
    <w:name w:val="表头1 Char"/>
    <w:basedOn w:val="28"/>
    <w:link w:val="57"/>
    <w:qFormat/>
    <w:uiPriority w:val="0"/>
    <w:rPr>
      <w:rFonts w:ascii="Times New Roman" w:hAnsi="Times New Roman" w:eastAsia="黑体" w:cs="Times New Roman"/>
      <w:kern w:val="2"/>
      <w:sz w:val="24"/>
      <w:szCs w:val="32"/>
    </w:rPr>
  </w:style>
  <w:style w:type="paragraph" w:customStyle="1" w:styleId="59">
    <w:name w:val="TOC 标题1"/>
    <w:basedOn w:val="2"/>
    <w:next w:val="1"/>
    <w:semiHidden/>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CADCA-3FD9-4F32-80A1-4242883AE2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13947</Words>
  <Characters>4065</Characters>
  <Lines>33</Lines>
  <Paragraphs>35</Paragraphs>
  <TotalTime>12</TotalTime>
  <ScaleCrop>false</ScaleCrop>
  <LinksUpToDate>false</LinksUpToDate>
  <CharactersWithSpaces>17977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2021-04-15T09:06:00Z</dcterms:created>
  <dc:creator>3</dc:creator>
  <cp:lastModifiedBy>Administrator</cp:lastModifiedBy>
  <cp:lastPrinted>2020-12-22T08:52:00Z</cp:lastPrinted>
  <dcterms:modified xsi:type="dcterms:W3CDTF">2021-12-10T01:46:57Z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9A53C3D143BE407BBB66A51C5DC9F183</vt:lpwstr>
  </property>
</Properties>
</file>