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Times New Roman" w:eastAsia="方正小标宋简体" w:cs="方正小标宋简体"/>
          <w:b w:val="0"/>
          <w:bCs w:val="0"/>
          <w:sz w:val="44"/>
          <w:szCs w:val="44"/>
        </w:rPr>
      </w:pPr>
      <w:bookmarkStart w:id="0" w:name="_GoBack"/>
      <w:r>
        <w:rPr>
          <w:rFonts w:eastAsia="黑体"/>
          <w:szCs w:val="32"/>
        </w:rPr>
        <mc:AlternateContent>
          <mc:Choice Requires="wps">
            <w:drawing>
              <wp:anchor distT="0" distB="0" distL="114300" distR="114300" simplePos="0" relativeHeight="251661312" behindDoc="0" locked="1" layoutInCell="1" allowOverlap="1">
                <wp:simplePos x="0" y="0"/>
                <wp:positionH relativeFrom="column">
                  <wp:align>center</wp:align>
                </wp:positionH>
                <wp:positionV relativeFrom="page">
                  <wp:posOffset>-360045</wp:posOffset>
                </wp:positionV>
                <wp:extent cx="467995" cy="330200"/>
                <wp:effectExtent l="0" t="0" r="8255" b="12700"/>
                <wp:wrapNone/>
                <wp:docPr id="3" name="WJBT2"/>
                <wp:cNvGraphicFramePr/>
                <a:graphic xmlns:a="http://schemas.openxmlformats.org/drawingml/2006/main">
                  <a:graphicData uri="http://schemas.microsoft.com/office/word/2010/wordprocessingShape">
                    <wps:wsp>
                      <wps:cNvSpPr txBox="true"/>
                      <wps:spPr>
                        <a:xfrm>
                          <a:off x="0" y="0"/>
                          <a:ext cx="467995" cy="330200"/>
                        </a:xfrm>
                        <a:prstGeom prst="rect">
                          <a:avLst/>
                        </a:prstGeom>
                        <a:solidFill>
                          <a:srgbClr val="FFFFFF"/>
                        </a:solidFill>
                        <a:ln>
                          <a:noFill/>
                        </a:ln>
                        <a:effectLst/>
                      </wps:spPr>
                      <wps:txbx>
                        <w:txbxContent>
                          <w:p>
                            <w:pPr>
                              <w:spacing w:line="520" w:lineRule="exact"/>
                              <w:jc w:val="distribute"/>
                              <w:rPr>
                                <w:sz w:val="48"/>
                                <w:szCs w:val="48"/>
                              </w:rPr>
                            </w:pPr>
                            <w:r>
                              <w:rPr>
                                <w:rFonts w:hint="eastAsia"/>
                                <w:color w:val="FF0000"/>
                                <w:sz w:val="48"/>
                                <w:szCs w:val="48"/>
                              </w:rPr>
                              <w:t>★</w:t>
                            </w:r>
                          </w:p>
                        </w:txbxContent>
                      </wps:txbx>
                      <wps:bodyPr wrap="square" lIns="0" tIns="0" rIns="0" bIns="0" upright="true"/>
                    </wps:wsp>
                  </a:graphicData>
                </a:graphic>
              </wp:anchor>
            </w:drawing>
          </mc:Choice>
          <mc:Fallback>
            <w:pict>
              <v:shape id="WJBT2" o:spid="_x0000_s1026" o:spt="202" type="#_x0000_t202" style="position:absolute;left:0pt;margin-top:-28.35pt;height:26pt;width:36.85pt;mso-position-horizontal:center;mso-position-vertical-relative:page;z-index:251661312;mso-width-relative:page;mso-height-relative:page;" fillcolor="#FFFFFF" filled="t" stroked="f" coordsize="21600,21600" o:gfxdata="UEsFBgAAAAAAAAAAAAAAAAAAAAAAAFBLAwQKAAAAAACHTuJAAAAAAAAAAAAAAAAABAAAAGRycy9Q&#10;SwMEFAAAAAgAh07iQJIXLvfWAAAABgEAAA8AAABkcnMvZG93bnJldi54bWxNj0FPwzAMhe9I/IfI&#10;SFzQlm5Ai0rTSWxwg8PGtLPXmLaicaomXbd/jznByXp+1nufi9XZdepEQ2g9G1jME1DElbct1wb2&#10;n2+zJ1AhIlvsPJOBCwVYlddXBebWT7yl0y7WSkI45GigibHPtQ5VQw7D3PfE4n35wWEUOdTaDjhJ&#10;uOv0MklS7bBlaWiwp3VD1fdudAbSzTBOW17fbfav7/jR18vDy+VgzO3NInkGFekc/47hF1/QoRSm&#10;ox/ZBtUZkEeigdljmoESO7uXeZTFQwa6LPR//PIHUEsDBBQAAAAIAIdO4kB7hz2DtAEAAGgDAAAO&#10;AAAAZHJzL2Uyb0RvYy54bWytU01v1DAQvSPxHyzf2aS7pbTReiu11SIQopVaxNlxnMSSvxh7N9l/&#10;z9hJlgI3RA6T8cz42e/NeHs7Gk2OEoJyltGLVUmJtMI1ynaMfnvZv7umJERuG66dlYyeZKC3u7dv&#10;toOv5Nr1TjcSCILYUA2e0T5GXxVFEL00PKyclxaTrQPDIy6hKxrgA6IbXazL8qoYHDQenJAhYPRh&#10;StJdxm9bKeJj2wYZiWYU7xazhWzrZIvdllcdcN8rMV+D/8MtDFcWDz1DPfDIyQHUX1BGCXDBtXEl&#10;nClc2yohMwdkc1H+wea5515mLihO8GeZwv+DFV+PT0BUw+iGEssNtuj757uXdRJm8KHC/LPHijje&#10;uZHRCAe5pALGE+WxBZP+SIZgCap8Oisrx0gEBi+vPtzcvKdEYGqzKbFzCaX4tdlDiB+lMyQ5jAI2&#10;LuvJj19CnEqXknRWcFo1e6V1XkBX32sgR45N3udvRv+tTNtUbF3aNiFOEZnHZD4mcZ6IJS+O9TgL&#10;UbvmhDoMOCqMhh8HDpIS/cliL9JcLQ4sTr04Bw+q65HTol2RkLGdmf88emleXq/Rf/1Adj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FgAA&#10;AGRycy9QSwECFAAUAAAACACHTuJAkhcu99YAAAAGAQAADwAAAAAAAAABACAAAAA4AAAAZHJzL2Rv&#10;d25yZXYueG1sUEsBAhQAFAAAAAgAh07iQHuHPYO0AQAAaAMAAA4AAAAAAAAAAQAgAAAAOwEAAGRy&#10;cy9lMm9Eb2MueG1sUEsFBgAAAAAGAAYAWQEAAGEFAAAAAA==&#10;">
                <v:fill on="t" focussize="0,0"/>
                <v:stroke on="f"/>
                <v:imagedata o:title=""/>
                <o:lock v:ext="edit" aspectratio="f"/>
                <v:textbox inset="0mm,0mm,0mm,0mm">
                  <w:txbxContent>
                    <w:p>
                      <w:pPr>
                        <w:spacing w:line="520" w:lineRule="exact"/>
                        <w:jc w:val="distribute"/>
                        <w:rPr>
                          <w:sz w:val="48"/>
                          <w:szCs w:val="48"/>
                        </w:rPr>
                      </w:pPr>
                      <w:r>
                        <w:rPr>
                          <w:rFonts w:hint="eastAsia"/>
                          <w:color w:val="FF0000"/>
                          <w:sz w:val="48"/>
                          <w:szCs w:val="48"/>
                        </w:rPr>
                        <w:t>★</w:t>
                      </w:r>
                    </w:p>
                  </w:txbxContent>
                </v:textbox>
                <w10:anchorlock/>
              </v:shape>
            </w:pict>
          </mc:Fallback>
        </mc:AlternateContent>
      </w:r>
      <w:r>
        <w:rPr>
          <w:rFonts w:hint="eastAsia" w:ascii="方正小标宋简体" w:hAnsi="Times New Roman" w:eastAsia="方正小标宋简体" w:cs="方正小标宋简体"/>
          <w:b w:val="0"/>
          <w:bCs w:val="0"/>
          <w:sz w:val="44"/>
          <w:szCs w:val="44"/>
        </w:rPr>
        <w:t>红桥区体育事业发展“十四五”规划</w:t>
      </w:r>
      <w:bookmarkEnd w:id="0"/>
    </w:p>
    <w:p/>
    <w:p>
      <w:pPr>
        <w:spacing w:line="560" w:lineRule="exact"/>
        <w:ind w:firstLine="645"/>
        <w:rPr>
          <w:rFonts w:ascii="仿宋_GB2312" w:hAnsi="仿宋" w:eastAsia="仿宋_GB2312"/>
          <w:sz w:val="32"/>
          <w:szCs w:val="32"/>
        </w:rPr>
      </w:pPr>
      <w:r>
        <w:rPr>
          <w:rFonts w:hint="eastAsia" w:ascii="仿宋_GB2312" w:hAnsi="仿宋" w:eastAsia="仿宋_GB2312" w:cs="仿宋_GB2312"/>
          <w:sz w:val="32"/>
          <w:szCs w:val="32"/>
        </w:rPr>
        <w:t>“十四五”时期是我区贯彻落实“四个全面”战略布局，是建成小康社会的基础上全面高质量发展的关键五年，也是建设体育强区、推进体育事业实现新发展、新跨越的重要五年。为统筹“十四五”时期全区各项体育改革与发展任务，促进体育的全面、协调、可持续发展，更好地发挥体育在社会主义物质文明、政治文明、精神文明和生态文明建设方面的独特作用，根据国家和天津市对于体育发展的总体布局和要求，新时代体育发展面临的形势任务，依据《天津市红桥区国民经济和社会发展第十四个五年规划和二〇三五年远景目标纲要》，特制定本规划。</w:t>
      </w:r>
    </w:p>
    <w:p>
      <w:pPr>
        <w:spacing w:line="560" w:lineRule="exact"/>
        <w:ind w:firstLine="645"/>
        <w:rPr>
          <w:rFonts w:ascii="黑体" w:hAnsi="黑体" w:eastAsia="黑体"/>
          <w:sz w:val="32"/>
          <w:szCs w:val="32"/>
        </w:rPr>
      </w:pPr>
      <w:r>
        <w:rPr>
          <w:rFonts w:hint="eastAsia" w:ascii="黑体" w:hAnsi="黑体" w:eastAsia="黑体" w:cs="黑体"/>
          <w:sz w:val="32"/>
          <w:szCs w:val="32"/>
        </w:rPr>
        <w:t>一、“十三五”时期红桥体育事业成就显著</w:t>
      </w:r>
    </w:p>
    <w:p>
      <w:pPr>
        <w:spacing w:line="560" w:lineRule="exact"/>
        <w:ind w:firstLine="645"/>
        <w:rPr>
          <w:rFonts w:ascii="仿宋_GB2312" w:hAnsi="仿宋" w:eastAsia="仿宋_GB2312"/>
          <w:sz w:val="32"/>
          <w:szCs w:val="32"/>
        </w:rPr>
      </w:pPr>
      <w:r>
        <w:rPr>
          <w:rFonts w:hint="eastAsia" w:ascii="仿宋_GB2312" w:hAnsi="仿宋" w:eastAsia="仿宋_GB2312" w:cs="仿宋_GB2312"/>
          <w:sz w:val="32"/>
          <w:szCs w:val="32"/>
        </w:rPr>
        <w:t>“十三五”时期，在区委、区政府的正确领导和社会各界的大力支持下，全区体育战线统一思想，以习近平新时代中国特色社会主义思想和系列重要讲话为统领，坚持科学发展，砥砺跨越前进，推动各项体育工作全面进步，不断满足人民群众日益增长的体育需求，体育事业取得显著成就，实现全区体育事业均衡、协调、全面发展。</w:t>
      </w:r>
    </w:p>
    <w:p>
      <w:pPr>
        <w:spacing w:line="560" w:lineRule="exact"/>
        <w:ind w:firstLine="645"/>
        <w:rPr>
          <w:rFonts w:ascii="楷体_GB2312" w:hAnsi="仿宋" w:eastAsia="楷体_GB2312"/>
          <w:b/>
          <w:bCs/>
          <w:sz w:val="32"/>
          <w:szCs w:val="32"/>
        </w:rPr>
      </w:pPr>
      <w:r>
        <w:rPr>
          <w:rFonts w:hint="eastAsia" w:ascii="楷体_GB2312" w:hAnsi="仿宋" w:eastAsia="楷体_GB2312" w:cs="楷体_GB2312"/>
          <w:b/>
          <w:bCs/>
          <w:sz w:val="32"/>
          <w:szCs w:val="32"/>
        </w:rPr>
        <w:t>（一）群众体育丰富多彩</w:t>
      </w:r>
    </w:p>
    <w:p>
      <w:pPr>
        <w:spacing w:line="560" w:lineRule="exact"/>
        <w:ind w:firstLine="645"/>
        <w:rPr>
          <w:rFonts w:ascii="仿宋_GB2312" w:hAnsi="仿宋" w:eastAsia="仿宋_GB2312" w:cs="仿宋_GB2312"/>
          <w:sz w:val="32"/>
          <w:szCs w:val="32"/>
        </w:rPr>
      </w:pPr>
      <w:r>
        <w:rPr>
          <w:rFonts w:hint="eastAsia" w:ascii="仿宋_GB2312" w:hAnsi="仿宋" w:eastAsia="仿宋_GB2312" w:cs="仿宋_GB2312"/>
          <w:sz w:val="32"/>
          <w:szCs w:val="32"/>
        </w:rPr>
        <w:t>我区深入巩固全运惠民成果，整合“六边工程”建设优势，从着力提高市民身体素质和生活质量入手，以天津文化吸引群众、以科学健身引导群众、以体育精神感染群众，打造了“体育</w:t>
      </w:r>
      <w:r>
        <w:rPr>
          <w:rFonts w:ascii="仿宋_GB2312" w:hAnsi="仿宋" w:eastAsia="仿宋_GB2312" w:cs="仿宋_GB2312"/>
          <w:sz w:val="32"/>
          <w:szCs w:val="32"/>
        </w:rPr>
        <w:t>+</w:t>
      </w:r>
      <w:r>
        <w:rPr>
          <w:rFonts w:hint="eastAsia" w:ascii="仿宋_GB2312" w:hAnsi="仿宋" w:eastAsia="仿宋_GB2312" w:cs="仿宋_GB2312"/>
          <w:sz w:val="32"/>
          <w:szCs w:val="32"/>
        </w:rPr>
        <w:t>文化</w:t>
      </w:r>
      <w:r>
        <w:rPr>
          <w:rFonts w:ascii="仿宋_GB2312" w:hAnsi="仿宋" w:eastAsia="仿宋_GB2312" w:cs="仿宋_GB2312"/>
          <w:sz w:val="32"/>
          <w:szCs w:val="32"/>
        </w:rPr>
        <w:t>+</w:t>
      </w:r>
      <w:r>
        <w:rPr>
          <w:rFonts w:hint="eastAsia" w:ascii="仿宋_GB2312" w:hAnsi="仿宋" w:eastAsia="仿宋_GB2312" w:cs="仿宋_GB2312"/>
          <w:sz w:val="32"/>
          <w:szCs w:val="32"/>
        </w:rPr>
        <w:t>科技”的品牌活动体系，2017年，区体育局被评为全国群众体育先进单位。一是发挥市级活动引领作用。充分发挥西沽健身中心等全民健身基地作用，创新性开展篮球等项目城市公园联盟赛事，搭建了群众体育队伍交流平台，首届天津市公园健身大会在西沽公园开幕，全市百座公园健身队伍聚集一堂展示公园健身成果。连续三年举办“津台两地”剑道邀请赛，充分发挥体育运动在两岸民间交流中的桥梁作用，为剑道运动在我市的推广发展奠定了基础。二是发挥区级活动示范作用，结合节点组织开展健身大拜年活动、红桥武术节、家庭趣味运动会、全民健身运动会、社区文体艺术节等大型体育活动。三是大力发展形式多样的运动项目。推广简便、易行、健身效果好的健步走、健康跑、健身骑行“活力三项”运动，推动群众性足球、篮球、排球三大球和乒乓球、羽毛球、网球三小球运动项目，发展健身健美操、广场舞、游泳、轮滑等群众喜闻乐见的健身项目，鼓励开展健身气功、风筝等传统趣味运动项目，开发适合不同人群、不同地域和不同行业特点的特色运动项目。四是积极开展全民健身竞赛活动。丰富假日体育活动，办好我区全民健身运动会及青少年、社区、职工、妇女、老年人、残疾人等各类人群体育赛事活动，各街道结合地域文化、行业文化及体育资源，打造具有区域特色、行业特点、影响力大、可持续性强的“一街一品”、“一行一品”全民健身赛事活动品牌。组织社会体育指导员培训班</w:t>
      </w:r>
      <w:r>
        <w:rPr>
          <w:rFonts w:ascii="仿宋_GB2312" w:hAnsi="仿宋" w:eastAsia="仿宋_GB2312" w:cs="仿宋_GB2312"/>
          <w:sz w:val="32"/>
          <w:szCs w:val="32"/>
        </w:rPr>
        <w:t>10</w:t>
      </w:r>
      <w:r>
        <w:rPr>
          <w:rFonts w:hint="eastAsia" w:ascii="仿宋_GB2312" w:hAnsi="仿宋" w:eastAsia="仿宋_GB2312" w:cs="仿宋_GB2312"/>
          <w:sz w:val="32"/>
          <w:szCs w:val="32"/>
        </w:rPr>
        <w:t>期，发展社会体育指导员</w:t>
      </w:r>
      <w:r>
        <w:rPr>
          <w:rFonts w:ascii="仿宋_GB2312" w:hAnsi="仿宋" w:eastAsia="仿宋_GB2312" w:cs="仿宋_GB2312"/>
          <w:sz w:val="32"/>
          <w:szCs w:val="32"/>
        </w:rPr>
        <w:t>500</w:t>
      </w:r>
      <w:r>
        <w:rPr>
          <w:rFonts w:hint="eastAsia" w:ascii="仿宋_GB2312" w:hAnsi="仿宋" w:eastAsia="仿宋_GB2312" w:cs="仿宋_GB2312"/>
          <w:sz w:val="32"/>
          <w:szCs w:val="32"/>
        </w:rPr>
        <w:t>名，全区总数达到</w:t>
      </w:r>
      <w:r>
        <w:rPr>
          <w:rFonts w:ascii="仿宋_GB2312" w:hAnsi="仿宋" w:eastAsia="仿宋_GB2312" w:cs="仿宋_GB2312"/>
          <w:sz w:val="32"/>
          <w:szCs w:val="32"/>
        </w:rPr>
        <w:t>1500</w:t>
      </w:r>
      <w:r>
        <w:rPr>
          <w:rFonts w:hint="eastAsia" w:ascii="仿宋_GB2312" w:hAnsi="仿宋" w:eastAsia="仿宋_GB2312" w:cs="仿宋_GB2312"/>
          <w:sz w:val="32"/>
          <w:szCs w:val="32"/>
        </w:rPr>
        <w:t>人，新建、更新健身路径160条，全区健身路径总数达到</w:t>
      </w:r>
      <w:r>
        <w:rPr>
          <w:rFonts w:ascii="仿宋_GB2312" w:hAnsi="仿宋" w:eastAsia="仿宋_GB2312" w:cs="仿宋_GB2312"/>
          <w:sz w:val="32"/>
          <w:szCs w:val="32"/>
        </w:rPr>
        <w:t>230</w:t>
      </w:r>
      <w:r>
        <w:rPr>
          <w:rFonts w:hint="eastAsia" w:ascii="仿宋_GB2312" w:hAnsi="仿宋" w:eastAsia="仿宋_GB2312" w:cs="仿宋_GB2312"/>
          <w:sz w:val="32"/>
          <w:szCs w:val="32"/>
        </w:rPr>
        <w:t>条。有组织、有规模的晨晚练健身单位增加</w:t>
      </w:r>
      <w:r>
        <w:rPr>
          <w:rFonts w:ascii="仿宋_GB2312" w:hAnsi="仿宋" w:eastAsia="仿宋_GB2312" w:cs="仿宋_GB2312"/>
          <w:sz w:val="32"/>
          <w:szCs w:val="32"/>
        </w:rPr>
        <w:t>20</w:t>
      </w:r>
      <w:r>
        <w:rPr>
          <w:rFonts w:hint="eastAsia" w:ascii="仿宋_GB2312" w:hAnsi="仿宋" w:eastAsia="仿宋_GB2312" w:cs="仿宋_GB2312"/>
          <w:sz w:val="32"/>
          <w:szCs w:val="32"/>
        </w:rPr>
        <w:t>支，全区总数达到</w:t>
      </w:r>
      <w:r>
        <w:rPr>
          <w:rFonts w:ascii="仿宋_GB2312" w:hAnsi="仿宋" w:eastAsia="仿宋_GB2312" w:cs="仿宋_GB2312"/>
          <w:sz w:val="32"/>
          <w:szCs w:val="32"/>
        </w:rPr>
        <w:t>130</w:t>
      </w:r>
      <w:r>
        <w:rPr>
          <w:rFonts w:hint="eastAsia" w:ascii="仿宋_GB2312" w:hAnsi="仿宋" w:eastAsia="仿宋_GB2312" w:cs="仿宋_GB2312"/>
          <w:sz w:val="32"/>
          <w:szCs w:val="32"/>
        </w:rPr>
        <w:t>支，区级单项单项体育协会达</w:t>
      </w:r>
      <w:r>
        <w:rPr>
          <w:rFonts w:ascii="仿宋_GB2312" w:hAnsi="仿宋" w:eastAsia="仿宋_GB2312" w:cs="仿宋_GB2312"/>
          <w:sz w:val="32"/>
          <w:szCs w:val="32"/>
        </w:rPr>
        <w:t>14</w:t>
      </w:r>
      <w:r>
        <w:rPr>
          <w:rFonts w:hint="eastAsia" w:ascii="仿宋_GB2312" w:hAnsi="仿宋" w:eastAsia="仿宋_GB2312" w:cs="仿宋_GB2312"/>
          <w:sz w:val="32"/>
          <w:szCs w:val="32"/>
        </w:rPr>
        <w:t>个。</w:t>
      </w:r>
    </w:p>
    <w:p>
      <w:pPr>
        <w:spacing w:line="560" w:lineRule="exact"/>
        <w:ind w:firstLine="645"/>
        <w:rPr>
          <w:rFonts w:ascii="楷体_GB2312" w:hAnsi="仿宋" w:eastAsia="楷体_GB2312"/>
          <w:b/>
          <w:bCs/>
          <w:sz w:val="32"/>
          <w:szCs w:val="32"/>
        </w:rPr>
      </w:pPr>
      <w:r>
        <w:rPr>
          <w:rFonts w:hint="eastAsia" w:ascii="楷体_GB2312" w:hAnsi="仿宋" w:eastAsia="楷体_GB2312" w:cs="楷体_GB2312"/>
          <w:b/>
          <w:bCs/>
          <w:sz w:val="32"/>
          <w:szCs w:val="32"/>
        </w:rPr>
        <w:t>（二）竞技体育稳步推进</w:t>
      </w:r>
    </w:p>
    <w:p>
      <w:pPr>
        <w:spacing w:line="560" w:lineRule="exact"/>
        <w:ind w:firstLine="645"/>
        <w:rPr>
          <w:rFonts w:ascii="仿宋_GB2312" w:hAnsi="仿宋" w:eastAsia="仿宋_GB2312"/>
          <w:sz w:val="32"/>
          <w:szCs w:val="32"/>
        </w:rPr>
      </w:pPr>
      <w:r>
        <w:rPr>
          <w:rFonts w:hint="eastAsia" w:ascii="仿宋_GB2312" w:hAnsi="仿宋" w:eastAsia="仿宋_GB2312" w:cs="仿宋_GB2312"/>
          <w:sz w:val="32"/>
          <w:szCs w:val="32"/>
        </w:rPr>
        <w:t>区业余体校十三五期间为天津市输送</w:t>
      </w:r>
      <w:r>
        <w:rPr>
          <w:rFonts w:ascii="仿宋_GB2312" w:hAnsi="仿宋" w:eastAsia="仿宋_GB2312" w:cs="仿宋_GB2312"/>
          <w:sz w:val="32"/>
          <w:szCs w:val="32"/>
        </w:rPr>
        <w:t>20</w:t>
      </w:r>
      <w:r>
        <w:rPr>
          <w:rFonts w:hint="eastAsia" w:ascii="仿宋_GB2312" w:hAnsi="仿宋" w:eastAsia="仿宋_GB2312" w:cs="仿宋_GB2312"/>
          <w:sz w:val="32"/>
          <w:szCs w:val="32"/>
        </w:rPr>
        <w:t>名优秀体育人才。承办</w:t>
      </w:r>
      <w:r>
        <w:rPr>
          <w:rFonts w:ascii="仿宋_GB2312" w:hAnsi="仿宋" w:eastAsia="仿宋_GB2312" w:cs="仿宋_GB2312"/>
          <w:sz w:val="32"/>
          <w:szCs w:val="32"/>
        </w:rPr>
        <w:t>2017</w:t>
      </w:r>
      <w:r>
        <w:rPr>
          <w:rFonts w:hint="eastAsia" w:ascii="仿宋_GB2312" w:hAnsi="仿宋" w:eastAsia="仿宋_GB2312" w:cs="仿宋_GB2312"/>
          <w:sz w:val="32"/>
          <w:szCs w:val="32"/>
        </w:rPr>
        <w:t>年全运会桥牌项目，我区被评为中华人民共和国第十三届运动会最佳赛区。</w:t>
      </w:r>
      <w:r>
        <w:rPr>
          <w:rFonts w:ascii="仿宋_GB2312" w:hAnsi="仿宋" w:eastAsia="仿宋_GB2312" w:cs="仿宋_GB2312"/>
          <w:sz w:val="32"/>
          <w:szCs w:val="32"/>
        </w:rPr>
        <w:t>2018</w:t>
      </w:r>
      <w:r>
        <w:rPr>
          <w:rFonts w:hint="eastAsia" w:ascii="仿宋_GB2312" w:hAnsi="仿宋" w:eastAsia="仿宋_GB2312" w:cs="仿宋_GB2312"/>
          <w:sz w:val="32"/>
          <w:szCs w:val="32"/>
        </w:rPr>
        <w:t>年组队参加天津市天津市第十四届运动会，青少年组参加</w:t>
      </w:r>
      <w:r>
        <w:rPr>
          <w:rFonts w:ascii="仿宋_GB2312" w:hAnsi="仿宋" w:eastAsia="仿宋_GB2312" w:cs="仿宋_GB2312"/>
          <w:sz w:val="32"/>
          <w:szCs w:val="32"/>
        </w:rPr>
        <w:t>22</w:t>
      </w:r>
      <w:r>
        <w:rPr>
          <w:rFonts w:hint="eastAsia" w:ascii="仿宋_GB2312" w:hAnsi="仿宋" w:eastAsia="仿宋_GB2312" w:cs="仿宋_GB2312"/>
          <w:sz w:val="32"/>
          <w:szCs w:val="32"/>
        </w:rPr>
        <w:t>项比赛，共获得金牌</w:t>
      </w:r>
      <w:r>
        <w:rPr>
          <w:rFonts w:ascii="仿宋_GB2312" w:hAnsi="仿宋" w:eastAsia="仿宋_GB2312" w:cs="仿宋_GB2312"/>
          <w:sz w:val="32"/>
          <w:szCs w:val="32"/>
        </w:rPr>
        <w:t>30</w:t>
      </w:r>
      <w:r>
        <w:rPr>
          <w:rFonts w:hint="eastAsia" w:ascii="仿宋_GB2312" w:hAnsi="仿宋" w:eastAsia="仿宋_GB2312" w:cs="仿宋_GB2312"/>
          <w:sz w:val="32"/>
          <w:szCs w:val="32"/>
        </w:rPr>
        <w:t>枚，银牌</w:t>
      </w:r>
      <w:r>
        <w:rPr>
          <w:rFonts w:ascii="仿宋_GB2312" w:hAnsi="仿宋" w:eastAsia="仿宋_GB2312" w:cs="仿宋_GB2312"/>
          <w:sz w:val="32"/>
          <w:szCs w:val="32"/>
        </w:rPr>
        <w:t>30</w:t>
      </w:r>
      <w:r>
        <w:rPr>
          <w:rFonts w:hint="eastAsia" w:ascii="仿宋_GB2312" w:hAnsi="仿宋" w:eastAsia="仿宋_GB2312" w:cs="仿宋_GB2312"/>
          <w:sz w:val="32"/>
          <w:szCs w:val="32"/>
        </w:rPr>
        <w:t>枚，铜牌</w:t>
      </w:r>
      <w:r>
        <w:rPr>
          <w:rFonts w:ascii="仿宋_GB2312" w:hAnsi="仿宋" w:eastAsia="仿宋_GB2312" w:cs="仿宋_GB2312"/>
          <w:sz w:val="32"/>
          <w:szCs w:val="32"/>
        </w:rPr>
        <w:t>35</w:t>
      </w:r>
      <w:r>
        <w:rPr>
          <w:rFonts w:hint="eastAsia" w:ascii="仿宋_GB2312" w:hAnsi="仿宋" w:eastAsia="仿宋_GB2312" w:cs="仿宋_GB2312"/>
          <w:sz w:val="32"/>
          <w:szCs w:val="32"/>
        </w:rPr>
        <w:t>枚，团体总分</w:t>
      </w:r>
      <w:r>
        <w:rPr>
          <w:rFonts w:ascii="仿宋_GB2312" w:hAnsi="仿宋" w:eastAsia="仿宋_GB2312" w:cs="仿宋_GB2312"/>
          <w:sz w:val="32"/>
          <w:szCs w:val="32"/>
        </w:rPr>
        <w:t>1604.5</w:t>
      </w:r>
      <w:r>
        <w:rPr>
          <w:rFonts w:hint="eastAsia" w:ascii="仿宋_GB2312" w:hAnsi="仿宋" w:eastAsia="仿宋_GB2312" w:cs="仿宋_GB2312"/>
          <w:sz w:val="32"/>
          <w:szCs w:val="32"/>
        </w:rPr>
        <w:t>分。与市十三届运动会相比实现奖牌总数翻倍的历史性突破。群众组参加太极拳、健身气功、轮滑、象棋、国际象棋、广播体操、毽球、航海模型、航空模型、自行车共计</w:t>
      </w:r>
      <w:r>
        <w:rPr>
          <w:rFonts w:ascii="仿宋_GB2312" w:hAnsi="仿宋" w:eastAsia="仿宋_GB2312" w:cs="仿宋_GB2312"/>
          <w:sz w:val="32"/>
          <w:szCs w:val="32"/>
        </w:rPr>
        <w:t>10</w:t>
      </w:r>
      <w:r>
        <w:rPr>
          <w:rFonts w:hint="eastAsia" w:ascii="仿宋_GB2312" w:hAnsi="仿宋" w:eastAsia="仿宋_GB2312" w:cs="仿宋_GB2312"/>
          <w:sz w:val="32"/>
          <w:szCs w:val="32"/>
        </w:rPr>
        <w:t>个大项的比赛，共获得金牌</w:t>
      </w:r>
      <w:r>
        <w:rPr>
          <w:rFonts w:ascii="仿宋_GB2312" w:hAnsi="仿宋" w:eastAsia="仿宋_GB2312" w:cs="仿宋_GB2312"/>
          <w:sz w:val="32"/>
          <w:szCs w:val="32"/>
        </w:rPr>
        <w:t>6</w:t>
      </w:r>
      <w:r>
        <w:rPr>
          <w:rFonts w:hint="eastAsia" w:ascii="仿宋_GB2312" w:hAnsi="仿宋" w:eastAsia="仿宋_GB2312" w:cs="仿宋_GB2312"/>
          <w:sz w:val="32"/>
          <w:szCs w:val="32"/>
        </w:rPr>
        <w:t>枚，银牌</w:t>
      </w:r>
      <w:r>
        <w:rPr>
          <w:rFonts w:ascii="仿宋_GB2312" w:hAnsi="仿宋" w:eastAsia="仿宋_GB2312" w:cs="仿宋_GB2312"/>
          <w:sz w:val="32"/>
          <w:szCs w:val="32"/>
        </w:rPr>
        <w:t>6</w:t>
      </w:r>
      <w:r>
        <w:rPr>
          <w:rFonts w:hint="eastAsia" w:ascii="仿宋_GB2312" w:hAnsi="仿宋" w:eastAsia="仿宋_GB2312" w:cs="仿宋_GB2312"/>
          <w:sz w:val="32"/>
          <w:szCs w:val="32"/>
        </w:rPr>
        <w:t>枚，铜牌</w:t>
      </w:r>
      <w:r>
        <w:rPr>
          <w:rFonts w:ascii="仿宋_GB2312" w:hAnsi="仿宋" w:eastAsia="仿宋_GB2312" w:cs="仿宋_GB2312"/>
          <w:sz w:val="32"/>
          <w:szCs w:val="32"/>
        </w:rPr>
        <w:t>4</w:t>
      </w:r>
      <w:r>
        <w:rPr>
          <w:rFonts w:hint="eastAsia" w:ascii="仿宋_GB2312" w:hAnsi="仿宋" w:eastAsia="仿宋_GB2312" w:cs="仿宋_GB2312"/>
          <w:sz w:val="32"/>
          <w:szCs w:val="32"/>
        </w:rPr>
        <w:t>枚。组织成人组近</w:t>
      </w:r>
      <w:r>
        <w:rPr>
          <w:rFonts w:ascii="仿宋_GB2312" w:hAnsi="仿宋" w:eastAsia="仿宋_GB2312" w:cs="仿宋_GB2312"/>
          <w:sz w:val="32"/>
          <w:szCs w:val="32"/>
        </w:rPr>
        <w:t>80</w:t>
      </w:r>
      <w:r>
        <w:rPr>
          <w:rFonts w:hint="eastAsia" w:ascii="仿宋_GB2312" w:hAnsi="仿宋" w:eastAsia="仿宋_GB2312" w:cs="仿宋_GB2312"/>
          <w:sz w:val="32"/>
          <w:szCs w:val="32"/>
        </w:rPr>
        <w:t>人参加了女排、男足、羽毛球、乒乓球、游泳和网球等</w:t>
      </w:r>
      <w:r>
        <w:rPr>
          <w:rFonts w:ascii="仿宋_GB2312" w:hAnsi="仿宋" w:eastAsia="仿宋_GB2312" w:cs="仿宋_GB2312"/>
          <w:sz w:val="32"/>
          <w:szCs w:val="32"/>
        </w:rPr>
        <w:t>6</w:t>
      </w:r>
      <w:r>
        <w:rPr>
          <w:rFonts w:hint="eastAsia" w:ascii="仿宋_GB2312" w:hAnsi="仿宋" w:eastAsia="仿宋_GB2312" w:cs="仿宋_GB2312"/>
          <w:sz w:val="32"/>
          <w:szCs w:val="32"/>
        </w:rPr>
        <w:t>个大项的比赛，取得了</w:t>
      </w:r>
      <w:r>
        <w:rPr>
          <w:rFonts w:ascii="仿宋_GB2312" w:hAnsi="仿宋" w:eastAsia="仿宋_GB2312" w:cs="仿宋_GB2312"/>
          <w:sz w:val="32"/>
          <w:szCs w:val="32"/>
        </w:rPr>
        <w:t>2</w:t>
      </w:r>
      <w:r>
        <w:rPr>
          <w:rFonts w:hint="eastAsia" w:ascii="仿宋_GB2312" w:hAnsi="仿宋" w:eastAsia="仿宋_GB2312" w:cs="仿宋_GB2312"/>
          <w:sz w:val="32"/>
          <w:szCs w:val="32"/>
        </w:rPr>
        <w:t>枚金牌。充分展现了我区深厚的群众体育基础以及体育健儿高超的技术水平和良好的精神面貌，取得了运动成绩和精神文明双丰收。</w:t>
      </w:r>
      <w:r>
        <w:rPr>
          <w:rFonts w:ascii="仿宋_GB2312" w:hAnsi="仿宋" w:eastAsia="仿宋_GB2312" w:cs="仿宋_GB2312"/>
          <w:sz w:val="32"/>
          <w:szCs w:val="32"/>
        </w:rPr>
        <w:t>2019</w:t>
      </w:r>
      <w:r>
        <w:rPr>
          <w:rFonts w:hint="eastAsia" w:ascii="仿宋_GB2312" w:hAnsi="仿宋" w:eastAsia="仿宋_GB2312" w:cs="仿宋_GB2312"/>
          <w:sz w:val="32"/>
          <w:szCs w:val="32"/>
        </w:rPr>
        <w:t>年，我区成功协办全国第十届残运会暨第七届特奥会象棋比赛。红桥选手苑芷琳荣获</w:t>
      </w:r>
      <w:r>
        <w:rPr>
          <w:rFonts w:ascii="仿宋_GB2312" w:hAnsi="仿宋" w:eastAsia="仿宋_GB2312" w:cs="仿宋_GB2312"/>
          <w:sz w:val="32"/>
          <w:szCs w:val="32"/>
        </w:rPr>
        <w:t>2019</w:t>
      </w:r>
      <w:r>
        <w:rPr>
          <w:rFonts w:hint="eastAsia" w:ascii="仿宋_GB2312" w:hAnsi="仿宋" w:eastAsia="仿宋_GB2312" w:cs="仿宋_GB2312"/>
          <w:sz w:val="32"/>
          <w:szCs w:val="32"/>
        </w:rPr>
        <w:t>年世界国际象棋青少年锦标赛冠军，是我市近</w:t>
      </w:r>
      <w:r>
        <w:rPr>
          <w:rFonts w:ascii="仿宋_GB2312" w:hAnsi="仿宋" w:eastAsia="仿宋_GB2312" w:cs="仿宋_GB2312"/>
          <w:sz w:val="32"/>
          <w:szCs w:val="32"/>
        </w:rPr>
        <w:t>20</w:t>
      </w:r>
      <w:r>
        <w:rPr>
          <w:rFonts w:hint="eastAsia" w:ascii="仿宋_GB2312" w:hAnsi="仿宋" w:eastAsia="仿宋_GB2312" w:cs="仿宋_GB2312"/>
          <w:sz w:val="32"/>
          <w:szCs w:val="32"/>
        </w:rPr>
        <w:t>年本土选手荣获的最高荣誉，对我市棋类事业的发展、培训，具有重要的里程碑意义。</w:t>
      </w:r>
    </w:p>
    <w:p>
      <w:pPr>
        <w:spacing w:line="560" w:lineRule="exact"/>
        <w:ind w:firstLine="642" w:firstLineChars="200"/>
        <w:rPr>
          <w:rFonts w:ascii="楷体_GB2312" w:hAnsi="仿宋" w:eastAsia="楷体_GB2312"/>
          <w:b/>
          <w:bCs/>
          <w:sz w:val="32"/>
          <w:szCs w:val="32"/>
        </w:rPr>
      </w:pPr>
      <w:r>
        <w:rPr>
          <w:rFonts w:hint="eastAsia" w:ascii="楷体_GB2312" w:hAnsi="仿宋" w:eastAsia="楷体_GB2312" w:cs="楷体_GB2312"/>
          <w:b/>
          <w:bCs/>
          <w:sz w:val="32"/>
          <w:szCs w:val="32"/>
        </w:rPr>
        <w:t>（三）体育设施建设持续强化</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十三五”期间，加强各类体育健身设施规划建设，拓宽渠道创新方式，主动挖掘潜力，整合社会资源，为全区居民提供优质的健身场所。截至十三五末期，我区建有体育场地985个，场地数量较“十二五”期间增加了546个，每万人拥有场地</w:t>
      </w:r>
      <w:r>
        <w:rPr>
          <w:rFonts w:ascii="仿宋_GB2312" w:hAnsi="仿宋" w:eastAsia="仿宋_GB2312" w:cs="仿宋_GB2312"/>
          <w:sz w:val="32"/>
          <w:szCs w:val="32"/>
        </w:rPr>
        <w:t>1</w:t>
      </w:r>
      <w:r>
        <w:rPr>
          <w:rFonts w:hint="eastAsia" w:ascii="仿宋_GB2312" w:hAnsi="仿宋" w:eastAsia="仿宋_GB2312" w:cs="仿宋_GB2312"/>
          <w:sz w:val="32"/>
          <w:szCs w:val="32"/>
        </w:rPr>
        <w:t>7</w:t>
      </w:r>
      <w:r>
        <w:rPr>
          <w:rFonts w:ascii="仿宋_GB2312" w:hAnsi="仿宋" w:eastAsia="仿宋_GB2312" w:cs="仿宋_GB2312"/>
          <w:sz w:val="32"/>
          <w:szCs w:val="32"/>
        </w:rPr>
        <w:t>.</w:t>
      </w:r>
      <w:r>
        <w:rPr>
          <w:rFonts w:hint="eastAsia" w:ascii="仿宋_GB2312" w:hAnsi="仿宋" w:eastAsia="仿宋_GB2312" w:cs="仿宋_GB2312"/>
          <w:sz w:val="32"/>
          <w:szCs w:val="32"/>
        </w:rPr>
        <w:t>2</w:t>
      </w:r>
      <w:r>
        <w:rPr>
          <w:rFonts w:ascii="仿宋_GB2312" w:hAnsi="仿宋" w:eastAsia="仿宋_GB2312" w:cs="仿宋_GB2312"/>
          <w:sz w:val="32"/>
          <w:szCs w:val="32"/>
        </w:rPr>
        <w:t>7</w:t>
      </w:r>
      <w:r>
        <w:rPr>
          <w:rFonts w:hint="eastAsia" w:ascii="仿宋_GB2312" w:hAnsi="仿宋" w:eastAsia="仿宋_GB2312" w:cs="仿宋_GB2312"/>
          <w:sz w:val="32"/>
          <w:szCs w:val="32"/>
        </w:rPr>
        <w:t>个，较“十二五”期间增加了8</w:t>
      </w:r>
      <w:r>
        <w:rPr>
          <w:rFonts w:ascii="仿宋_GB2312" w:hAnsi="仿宋" w:eastAsia="仿宋_GB2312" w:cs="仿宋_GB2312"/>
          <w:sz w:val="32"/>
          <w:szCs w:val="32"/>
        </w:rPr>
        <w:t>.</w:t>
      </w:r>
      <w:r>
        <w:rPr>
          <w:rFonts w:hint="eastAsia" w:ascii="仿宋_GB2312" w:hAnsi="仿宋" w:eastAsia="仿宋_GB2312" w:cs="仿宋_GB2312"/>
          <w:sz w:val="32"/>
          <w:szCs w:val="32"/>
        </w:rPr>
        <w:t>8</w:t>
      </w:r>
      <w:r>
        <w:rPr>
          <w:rFonts w:ascii="仿宋_GB2312" w:hAnsi="仿宋" w:eastAsia="仿宋_GB2312" w:cs="仿宋_GB2312"/>
          <w:sz w:val="32"/>
          <w:szCs w:val="32"/>
        </w:rPr>
        <w:t>0</w:t>
      </w:r>
      <w:r>
        <w:rPr>
          <w:rFonts w:hint="eastAsia" w:ascii="仿宋_GB2312" w:hAnsi="仿宋" w:eastAsia="仿宋_GB2312" w:cs="仿宋_GB2312"/>
          <w:sz w:val="32"/>
          <w:szCs w:val="32"/>
        </w:rPr>
        <w:t>个。当前红桥区体育场地总面积为61.77万平方米，人均体育场地面积约为1.08平方米，较“十二五”期间人均体育场地面积增加了</w:t>
      </w:r>
      <w:r>
        <w:rPr>
          <w:rFonts w:ascii="仿宋_GB2312" w:hAnsi="仿宋" w:eastAsia="仿宋_GB2312" w:cs="仿宋_GB2312"/>
          <w:sz w:val="32"/>
          <w:szCs w:val="32"/>
        </w:rPr>
        <w:t>0.</w:t>
      </w:r>
      <w:r>
        <w:rPr>
          <w:rFonts w:hint="eastAsia" w:ascii="仿宋_GB2312" w:hAnsi="仿宋" w:eastAsia="仿宋_GB2312" w:cs="仿宋_GB2312"/>
          <w:sz w:val="32"/>
          <w:szCs w:val="32"/>
        </w:rPr>
        <w:t>46平方米。完成一个游泳馆、一个健身中心、一个体育公园的建设，并建设有西沽全民健身中心、和苑全民健身中心、西青道全民健身中心、铃铛阁街睦华里社区健身中心等一批街镇级、社区级健身中心，合计总占地面积</w:t>
      </w:r>
      <w:r>
        <w:rPr>
          <w:rFonts w:ascii="仿宋_GB2312" w:hAnsi="仿宋" w:eastAsia="仿宋_GB2312" w:cs="仿宋_GB2312"/>
          <w:sz w:val="32"/>
          <w:szCs w:val="32"/>
        </w:rPr>
        <w:t>16975</w:t>
      </w:r>
      <w:r>
        <w:rPr>
          <w:rFonts w:hint="eastAsia" w:ascii="仿宋_GB2312" w:hAnsi="仿宋" w:eastAsia="仿宋_GB2312" w:cs="仿宋_GB2312"/>
          <w:sz w:val="32"/>
          <w:szCs w:val="32"/>
        </w:rPr>
        <w:t>平方米，总建筑面积</w:t>
      </w:r>
      <w:r>
        <w:rPr>
          <w:rFonts w:ascii="仿宋_GB2312" w:hAnsi="仿宋" w:eastAsia="仿宋_GB2312" w:cs="仿宋_GB2312"/>
          <w:sz w:val="32"/>
          <w:szCs w:val="32"/>
        </w:rPr>
        <w:t>6014</w:t>
      </w:r>
      <w:r>
        <w:rPr>
          <w:rFonts w:hint="eastAsia" w:ascii="仿宋_GB2312" w:hAnsi="仿宋" w:eastAsia="仿宋_GB2312" w:cs="仿宋_GB2312"/>
          <w:sz w:val="32"/>
          <w:szCs w:val="32"/>
        </w:rPr>
        <w:t>平方米，健身中心的建成将为我区群众体育开展和竞技人才的培养提供场地保障。“十三五”期间，全区新建社会足球场</w:t>
      </w:r>
      <w:r>
        <w:rPr>
          <w:rFonts w:ascii="仿宋_GB2312" w:hAnsi="仿宋" w:eastAsia="仿宋_GB2312" w:cs="仿宋_GB2312"/>
          <w:sz w:val="32"/>
          <w:szCs w:val="32"/>
        </w:rPr>
        <w:t>7</w:t>
      </w:r>
      <w:r>
        <w:rPr>
          <w:rFonts w:hint="eastAsia" w:ascii="仿宋_GB2312" w:hAnsi="仿宋" w:eastAsia="仿宋_GB2312" w:cs="仿宋_GB2312"/>
          <w:sz w:val="32"/>
          <w:szCs w:val="32"/>
        </w:rPr>
        <w:t>块，其中五人制足球场</w:t>
      </w:r>
      <w:r>
        <w:rPr>
          <w:rFonts w:ascii="仿宋_GB2312" w:hAnsi="仿宋" w:eastAsia="仿宋_GB2312" w:cs="仿宋_GB2312"/>
          <w:sz w:val="32"/>
          <w:szCs w:val="32"/>
        </w:rPr>
        <w:t>4</w:t>
      </w:r>
      <w:r>
        <w:rPr>
          <w:rFonts w:hint="eastAsia" w:ascii="仿宋_GB2312" w:hAnsi="仿宋" w:eastAsia="仿宋_GB2312" w:cs="仿宋_GB2312"/>
          <w:sz w:val="32"/>
          <w:szCs w:val="32"/>
        </w:rPr>
        <w:t>块，七人制足球场</w:t>
      </w:r>
      <w:r>
        <w:rPr>
          <w:rFonts w:ascii="仿宋_GB2312" w:hAnsi="仿宋" w:eastAsia="仿宋_GB2312" w:cs="仿宋_GB2312"/>
          <w:sz w:val="32"/>
          <w:szCs w:val="32"/>
        </w:rPr>
        <w:t>3</w:t>
      </w:r>
      <w:r>
        <w:rPr>
          <w:rFonts w:hint="eastAsia" w:ascii="仿宋_GB2312" w:hAnsi="仿宋" w:eastAsia="仿宋_GB2312" w:cs="仿宋_GB2312"/>
          <w:sz w:val="32"/>
          <w:szCs w:val="32"/>
        </w:rPr>
        <w:t>块。</w:t>
      </w:r>
    </w:p>
    <w:p>
      <w:pPr>
        <w:spacing w:line="560" w:lineRule="exact"/>
        <w:ind w:firstLine="645"/>
        <w:rPr>
          <w:rFonts w:ascii="楷体_GB2312" w:hAnsi="仿宋" w:eastAsia="楷体_GB2312"/>
          <w:b/>
          <w:bCs/>
          <w:sz w:val="32"/>
          <w:szCs w:val="32"/>
        </w:rPr>
      </w:pPr>
      <w:r>
        <w:rPr>
          <w:rFonts w:hint="eastAsia" w:ascii="楷体_GB2312" w:hAnsi="仿宋" w:eastAsia="楷体_GB2312" w:cs="楷体_GB2312"/>
          <w:b/>
          <w:bCs/>
          <w:sz w:val="32"/>
          <w:szCs w:val="32"/>
        </w:rPr>
        <w:t>（四）体育产业稳步发展</w:t>
      </w:r>
    </w:p>
    <w:p>
      <w:pPr>
        <w:spacing w:line="560" w:lineRule="exact"/>
        <w:ind w:firstLine="645"/>
        <w:rPr>
          <w:rFonts w:ascii="仿宋_GB2312" w:hAnsi="仿宋" w:eastAsia="仿宋_GB2312"/>
          <w:sz w:val="32"/>
          <w:szCs w:val="32"/>
        </w:rPr>
      </w:pPr>
      <w:r>
        <w:rPr>
          <w:rFonts w:hint="eastAsia" w:ascii="仿宋_GB2312" w:hAnsi="仿宋" w:eastAsia="仿宋_GB2312" w:cs="仿宋_GB2312"/>
          <w:sz w:val="32"/>
          <w:szCs w:val="32"/>
        </w:rPr>
        <w:t>推动体育健身与医疗、文化等事业融合发展，积极引导和鼓励社会各界投资，大力发展体育旅游、运动康复、健身培训等体育服务业，改变以往体育产业发展模式，创新思路，为体育产业在新的领域谋求发展。根据统计，全区目前拥有各类体育产业相关单位</w:t>
      </w:r>
      <w:r>
        <w:rPr>
          <w:rFonts w:ascii="仿宋_GB2312" w:hAnsi="仿宋" w:eastAsia="仿宋_GB2312" w:cs="仿宋_GB2312"/>
          <w:sz w:val="32"/>
          <w:szCs w:val="32"/>
        </w:rPr>
        <w:t>405</w:t>
      </w:r>
      <w:r>
        <w:rPr>
          <w:rFonts w:hint="eastAsia" w:ascii="仿宋_GB2312" w:hAnsi="仿宋" w:eastAsia="仿宋_GB2312" w:cs="仿宋_GB2312"/>
          <w:sz w:val="32"/>
          <w:szCs w:val="32"/>
        </w:rPr>
        <w:t>处，其中法人单位</w:t>
      </w:r>
      <w:r>
        <w:rPr>
          <w:rFonts w:ascii="仿宋_GB2312" w:hAnsi="仿宋" w:eastAsia="仿宋_GB2312" w:cs="仿宋_GB2312"/>
          <w:sz w:val="32"/>
          <w:szCs w:val="32"/>
        </w:rPr>
        <w:t>288</w:t>
      </w:r>
      <w:r>
        <w:rPr>
          <w:rFonts w:hint="eastAsia" w:ascii="仿宋_GB2312" w:hAnsi="仿宋" w:eastAsia="仿宋_GB2312" w:cs="仿宋_GB2312"/>
          <w:sz w:val="32"/>
          <w:szCs w:val="32"/>
        </w:rPr>
        <w:t>家，个体工商户</w:t>
      </w:r>
      <w:r>
        <w:rPr>
          <w:rFonts w:ascii="仿宋_GB2312" w:hAnsi="仿宋" w:eastAsia="仿宋_GB2312" w:cs="仿宋_GB2312"/>
          <w:sz w:val="32"/>
          <w:szCs w:val="32"/>
        </w:rPr>
        <w:t>117</w:t>
      </w:r>
      <w:r>
        <w:rPr>
          <w:rFonts w:hint="eastAsia" w:ascii="仿宋_GB2312" w:hAnsi="仿宋" w:eastAsia="仿宋_GB2312" w:cs="仿宋_GB2312"/>
          <w:sz w:val="32"/>
          <w:szCs w:val="32"/>
        </w:rPr>
        <w:t>家，经营活动范围包括体育用品批发零售、休闲健身服务、体育用品制造、体育广告策划服务、体育文化传播推广、体育场地设施建设等，体育产业经营单位数量较十二五期间有明显增长。在全区范围内广泛调查走访，征集体育惠民卡签约服务单位，筛选出符合条件的体育场馆、体育健身休闲服务单位，经市体育局评审，十三五期间体惠卡签约服务完成了</w:t>
      </w:r>
      <w:r>
        <w:rPr>
          <w:rFonts w:ascii="仿宋_GB2312" w:hAnsi="仿宋" w:eastAsia="仿宋_GB2312" w:cs="仿宋_GB2312"/>
          <w:sz w:val="32"/>
          <w:szCs w:val="32"/>
        </w:rPr>
        <w:t>8</w:t>
      </w:r>
      <w:r>
        <w:rPr>
          <w:rFonts w:hint="eastAsia" w:ascii="仿宋_GB2312" w:hAnsi="仿宋" w:eastAsia="仿宋_GB2312" w:cs="仿宋_GB2312"/>
          <w:sz w:val="32"/>
          <w:szCs w:val="32"/>
        </w:rPr>
        <w:t>家公司。鼓励满足条件的体育类企业积极申报天津市体育产业有关项目，做好引导、服务和协调工作。</w:t>
      </w:r>
    </w:p>
    <w:p>
      <w:pPr>
        <w:spacing w:line="560" w:lineRule="exact"/>
        <w:ind w:firstLine="645"/>
        <w:rPr>
          <w:rFonts w:ascii="黑体" w:hAnsi="黑体" w:eastAsia="黑体"/>
          <w:sz w:val="32"/>
          <w:szCs w:val="32"/>
        </w:rPr>
      </w:pPr>
      <w:r>
        <w:rPr>
          <w:rFonts w:hint="eastAsia" w:ascii="黑体" w:hAnsi="黑体" w:eastAsia="黑体" w:cs="黑体"/>
          <w:sz w:val="32"/>
          <w:szCs w:val="32"/>
        </w:rPr>
        <w:t>二、“十四五”时期红桥体育事业发展面临重大机遇</w:t>
      </w:r>
    </w:p>
    <w:p>
      <w:pPr>
        <w:spacing w:line="560" w:lineRule="exact"/>
        <w:ind w:firstLine="645"/>
        <w:rPr>
          <w:rFonts w:ascii="楷体_GB2312" w:hAnsi="仿宋" w:eastAsia="楷体_GB2312"/>
          <w:b/>
          <w:bCs/>
          <w:sz w:val="32"/>
          <w:szCs w:val="32"/>
        </w:rPr>
      </w:pPr>
      <w:r>
        <w:rPr>
          <w:rFonts w:hint="eastAsia" w:ascii="楷体_GB2312" w:hAnsi="仿宋" w:eastAsia="楷体_GB2312" w:cs="楷体_GB2312"/>
          <w:b/>
          <w:bCs/>
          <w:sz w:val="32"/>
          <w:szCs w:val="32"/>
        </w:rPr>
        <w:t>（一）“十四五”时期红桥体育事业发展的机遇</w:t>
      </w:r>
    </w:p>
    <w:p>
      <w:pPr>
        <w:spacing w:line="560" w:lineRule="exact"/>
        <w:ind w:firstLine="645"/>
        <w:rPr>
          <w:rFonts w:ascii="仿宋_GB2312" w:hAnsi="仿宋" w:eastAsia="仿宋_GB2312" w:cs="仿宋_GB2312"/>
          <w:sz w:val="32"/>
          <w:szCs w:val="32"/>
        </w:rPr>
      </w:pPr>
      <w:r>
        <w:rPr>
          <w:rFonts w:hint="eastAsia" w:ascii="仿宋_GB2312" w:hAnsi="仿宋" w:eastAsia="仿宋_GB2312" w:cs="仿宋_GB2312"/>
          <w:sz w:val="32"/>
          <w:szCs w:val="32"/>
        </w:rPr>
        <w:t>党中央、国务院高度重视体育事业发展。十九大以来，习近平总书记为体育工作多次做出重要批示、指示，</w:t>
      </w:r>
      <w:r>
        <w:rPr>
          <w:rFonts w:hint="eastAsia" w:ascii="仿宋_GB2312" w:hAnsi="宋体" w:eastAsia="仿宋_GB2312" w:cs="仿宋_GB2312"/>
          <w:color w:val="222222"/>
          <w:kern w:val="0"/>
          <w:sz w:val="32"/>
          <w:szCs w:val="32"/>
        </w:rPr>
        <w:t>全民健身、健康中国上升为国家战略，</w:t>
      </w:r>
      <w:r>
        <w:rPr>
          <w:rFonts w:hint="eastAsia" w:ascii="仿宋_GB2312" w:hAnsi="仿宋" w:eastAsia="仿宋_GB2312" w:cs="仿宋_GB2312"/>
          <w:sz w:val="32"/>
          <w:szCs w:val="32"/>
        </w:rPr>
        <w:t>为体育事业发展指明了方向并寄予厚望。《天津市关于推进体育强市建设的实施意见》，明确了全民健身、竞技体育、体育产业、体育赛事、体育文化等10大项目工程，为“十四五”时期红桥体育事业发展规划出美好的未来，描绘出宏伟蓝图，提供了重要机遇和广阔发展空间。我国筹办</w:t>
      </w:r>
      <w:r>
        <w:rPr>
          <w:rFonts w:ascii="仿宋_GB2312" w:hAnsi="仿宋" w:eastAsia="仿宋_GB2312" w:cs="仿宋_GB2312"/>
          <w:sz w:val="32"/>
          <w:szCs w:val="32"/>
        </w:rPr>
        <w:t>2022</w:t>
      </w:r>
      <w:r>
        <w:rPr>
          <w:rFonts w:hint="eastAsia" w:ascii="仿宋_GB2312" w:hAnsi="仿宋" w:eastAsia="仿宋_GB2312" w:cs="仿宋_GB2312"/>
          <w:sz w:val="32"/>
          <w:szCs w:val="32"/>
        </w:rPr>
        <w:t>年北京冬奥会、推动冬季运动发展，为红桥的体育项目的发展带来了新机遇。体育产业作为新兴产业、绿色产业、朝阳产业，成为未来经济发展新的增长点，大力发展体育产业、促进体育消费成为体育发展的重要内容。互联网、人工智能将为体育发展带来新机遇，人工智能为提高体育管理效率、提升体育服务质量创造了非常好的科技与信息条件。把云科技和大数据应用在公共体育服务、体质健康监测、体育科技创新等方面，建立数据共享、实现信息互联，扩大体育宣传，积极打造智慧体育，主动把握体育发展的新机遇。</w:t>
      </w:r>
    </w:p>
    <w:p>
      <w:pPr>
        <w:spacing w:line="560" w:lineRule="exact"/>
        <w:ind w:firstLine="645"/>
        <w:rPr>
          <w:rFonts w:ascii="楷体_GB2312" w:hAnsi="仿宋" w:eastAsia="楷体_GB2312"/>
          <w:b/>
          <w:bCs/>
          <w:sz w:val="32"/>
          <w:szCs w:val="32"/>
        </w:rPr>
      </w:pPr>
      <w:r>
        <w:rPr>
          <w:rFonts w:hint="eastAsia" w:ascii="楷体_GB2312" w:hAnsi="仿宋" w:eastAsia="楷体_GB2312" w:cs="楷体_GB2312"/>
          <w:b/>
          <w:bCs/>
          <w:sz w:val="32"/>
          <w:szCs w:val="32"/>
        </w:rPr>
        <w:t>（二）红桥体育工作面临的矛盾和问题</w:t>
      </w:r>
    </w:p>
    <w:p>
      <w:pPr>
        <w:spacing w:line="560" w:lineRule="exact"/>
        <w:ind w:firstLine="645"/>
        <w:rPr>
          <w:rFonts w:ascii="仿宋_GB2312" w:hAnsi="仿宋" w:eastAsia="仿宋_GB2312" w:cs="仿宋_GB2312"/>
          <w:sz w:val="32"/>
          <w:szCs w:val="32"/>
        </w:rPr>
      </w:pPr>
      <w:r>
        <w:rPr>
          <w:rFonts w:hint="eastAsia" w:ascii="仿宋_GB2312" w:hAnsi="仿宋" w:eastAsia="仿宋_GB2312" w:cs="仿宋_GB2312"/>
          <w:sz w:val="32"/>
          <w:szCs w:val="32"/>
        </w:rPr>
        <w:t>“十四五”期间，人民群众日益增长的多元化、多层次体育需求与体育有效供给不足的矛盾依然突出，体育发展任务比较艰巨。在新冠肺炎疫情影响下，全球经济发展遭遇重创，世界体育秩序和格局发生重大转变。体育管理体制改革尚需深化，体育发展活力有待提升，社会力量参与体育的积极性调动不足。全民健身公共服务体系有待进一步完善，公共体育设施需要继续补缺口、提效能，加大支持培育体育社会组织力度。青少年、老年、上班族等不同群体对体育事业提出了不同的新需求和新期望。青少年训练工作的科学化水平有待提升，体教结合对竞技体育的促进作用未能有效发挥，竞技体育核心竞争力不足，体育后备人才基础相对薄弱。体育产业总体规模不大与结构不完善并存，发展后劲不足。</w:t>
      </w:r>
    </w:p>
    <w:p>
      <w:pPr>
        <w:spacing w:line="560" w:lineRule="exact"/>
        <w:ind w:firstLine="645"/>
        <w:rPr>
          <w:rFonts w:ascii="黑体" w:hAnsi="黑体" w:eastAsia="黑体"/>
          <w:sz w:val="32"/>
          <w:szCs w:val="32"/>
        </w:rPr>
      </w:pPr>
      <w:r>
        <w:rPr>
          <w:rFonts w:hint="eastAsia" w:ascii="黑体" w:hAnsi="黑体" w:eastAsia="黑体" w:cs="黑体"/>
          <w:sz w:val="32"/>
          <w:szCs w:val="32"/>
        </w:rPr>
        <w:t>三、指导思想和发展目标</w:t>
      </w:r>
    </w:p>
    <w:p>
      <w:pPr>
        <w:spacing w:line="560" w:lineRule="exact"/>
        <w:ind w:firstLine="645"/>
        <w:rPr>
          <w:rFonts w:ascii="楷体_GB2312" w:hAnsi="仿宋" w:eastAsia="楷体_GB2312"/>
          <w:b/>
          <w:bCs/>
          <w:sz w:val="32"/>
          <w:szCs w:val="32"/>
        </w:rPr>
      </w:pPr>
      <w:r>
        <w:rPr>
          <w:rFonts w:hint="eastAsia" w:ascii="楷体_GB2312" w:hAnsi="仿宋" w:eastAsia="楷体_GB2312" w:cs="楷体_GB2312"/>
          <w:b/>
          <w:bCs/>
          <w:sz w:val="32"/>
          <w:szCs w:val="32"/>
        </w:rPr>
        <w:t>（一）指导思想</w:t>
      </w:r>
    </w:p>
    <w:p>
      <w:pPr>
        <w:spacing w:line="560" w:lineRule="exact"/>
        <w:ind w:firstLine="645"/>
        <w:rPr>
          <w:rFonts w:ascii="仿宋_GB2312" w:hAnsi="仿宋" w:eastAsia="仿宋_GB2312"/>
          <w:sz w:val="32"/>
          <w:szCs w:val="32"/>
        </w:rPr>
      </w:pPr>
      <w:r>
        <w:rPr>
          <w:rFonts w:hint="eastAsia" w:ascii="仿宋_GB2312" w:hAnsi="仿宋" w:eastAsia="仿宋_GB2312" w:cs="仿宋_GB2312"/>
          <w:sz w:val="32"/>
          <w:szCs w:val="32"/>
        </w:rPr>
        <w:t>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围绕推动落实“五位一体”总体布局和“四个全面”战略布局，深入落实学习习近平总书记对天津工作提出的“三个着力”重要要求和一系列重要指示批示精神，认真贯彻党中央决策部署和市委、区委工作要求，增强“四个意识”，坚定“四个自信”，坚决做到“两个维护”，坚定不移贯彻创新、协调、绿色、开放、共享的新发展理念，以《“健康中国</w:t>
      </w:r>
      <w:r>
        <w:rPr>
          <w:rFonts w:ascii="仿宋_GB2312" w:hAnsi="仿宋" w:eastAsia="仿宋_GB2312" w:cs="仿宋_GB2312"/>
          <w:sz w:val="32"/>
          <w:szCs w:val="32"/>
        </w:rPr>
        <w:t>2030</w:t>
      </w:r>
      <w:r>
        <w:rPr>
          <w:rFonts w:hint="eastAsia" w:ascii="仿宋_GB2312" w:hAnsi="仿宋" w:eastAsia="仿宋_GB2312" w:cs="仿宋_GB2312"/>
          <w:sz w:val="32"/>
          <w:szCs w:val="32"/>
        </w:rPr>
        <w:t>”规划纲要》、</w:t>
      </w:r>
      <w:r>
        <w:rPr>
          <w:rFonts w:hint="eastAsia" w:ascii="仿宋_GB2312" w:eastAsia="仿宋_GB2312" w:cs="仿宋_GB2312"/>
          <w:sz w:val="32"/>
          <w:szCs w:val="32"/>
        </w:rPr>
        <w:t>《体育强国建设纲要》为要领，</w:t>
      </w:r>
      <w:r>
        <w:rPr>
          <w:rFonts w:hint="eastAsia" w:ascii="仿宋_GB2312" w:hAnsi="仿宋" w:eastAsia="仿宋_GB2312" w:cs="仿宋_GB2312"/>
          <w:sz w:val="32"/>
          <w:szCs w:val="32"/>
        </w:rPr>
        <w:t>以建立符合区情、比较完整、可持续发展的公共体育服务体系为重点，以建设体育强区为目标，进一步拓展群众体育的广度深度，着力提升竞技体育实力水平，加快推进体育产业发展、促进体育消费，全面提升社会办体育活力，提高全区人民身体素质和健康水平，持续推动红桥体育事业高质量发展。</w:t>
      </w:r>
    </w:p>
    <w:p>
      <w:pPr>
        <w:spacing w:line="560" w:lineRule="exact"/>
        <w:ind w:firstLine="645"/>
        <w:rPr>
          <w:rFonts w:ascii="楷体_GB2312" w:hAnsi="仿宋" w:eastAsia="楷体_GB2312"/>
          <w:b/>
          <w:bCs/>
          <w:sz w:val="32"/>
          <w:szCs w:val="32"/>
        </w:rPr>
      </w:pPr>
      <w:r>
        <w:rPr>
          <w:rFonts w:hint="eastAsia" w:ascii="楷体_GB2312" w:hAnsi="仿宋" w:eastAsia="楷体_GB2312" w:cs="楷体_GB2312"/>
          <w:b/>
          <w:bCs/>
          <w:sz w:val="32"/>
          <w:szCs w:val="32"/>
        </w:rPr>
        <w:t>（二）发展目标</w:t>
      </w:r>
    </w:p>
    <w:p>
      <w:pPr>
        <w:spacing w:line="560" w:lineRule="exact"/>
        <w:ind w:firstLine="645"/>
        <w:rPr>
          <w:rFonts w:ascii="仿宋_GB2312" w:hAnsi="仿宋" w:eastAsia="仿宋_GB2312"/>
          <w:b/>
          <w:bCs/>
          <w:sz w:val="32"/>
          <w:szCs w:val="32"/>
        </w:rPr>
      </w:pPr>
      <w:r>
        <w:rPr>
          <w:rFonts w:hint="eastAsia" w:ascii="仿宋_GB2312" w:hAnsi="仿宋" w:eastAsia="仿宋_GB2312" w:cs="仿宋_GB2312"/>
          <w:sz w:val="32"/>
          <w:szCs w:val="32"/>
        </w:rPr>
        <w:t>以全面落实全民健身、健康中国战略为指导，</w:t>
      </w:r>
      <w:r>
        <w:rPr>
          <w:rFonts w:hint="eastAsia" w:ascii="仿宋_GB2312" w:hAnsi="宋体" w:eastAsia="仿宋_GB2312" w:cs="仿宋_GB2312"/>
          <w:color w:val="222222"/>
          <w:kern w:val="0"/>
          <w:sz w:val="32"/>
          <w:szCs w:val="32"/>
        </w:rPr>
        <w:t>对接天津市体育“十四五”发展战略，</w:t>
      </w:r>
      <w:r>
        <w:rPr>
          <w:rFonts w:hint="eastAsia" w:ascii="仿宋_GB2312" w:hAnsi="仿宋" w:eastAsia="仿宋_GB2312" w:cs="仿宋_GB2312"/>
          <w:sz w:val="32"/>
          <w:szCs w:val="32"/>
        </w:rPr>
        <w:t>全面提升体育发展整体水平和质量，初步建成具有红桥特色的全民健身公共服务体系。力争到</w:t>
      </w:r>
      <w:r>
        <w:rPr>
          <w:rFonts w:ascii="仿宋_GB2312" w:hAnsi="仿宋" w:eastAsia="仿宋_GB2312" w:cs="仿宋_GB2312"/>
          <w:sz w:val="32"/>
          <w:szCs w:val="32"/>
        </w:rPr>
        <w:t>2025</w:t>
      </w:r>
      <w:r>
        <w:rPr>
          <w:rFonts w:hint="eastAsia" w:ascii="仿宋_GB2312" w:hAnsi="仿宋" w:eastAsia="仿宋_GB2312" w:cs="仿宋_GB2312"/>
          <w:sz w:val="32"/>
          <w:szCs w:val="32"/>
        </w:rPr>
        <w:t>年</w:t>
      </w:r>
      <w:r>
        <w:rPr>
          <w:rFonts w:hint="eastAsia" w:ascii="仿宋_GB2312" w:hAnsi="宋体" w:eastAsia="仿宋_GB2312" w:cs="仿宋_GB2312"/>
          <w:color w:val="222222"/>
          <w:kern w:val="0"/>
          <w:sz w:val="32"/>
          <w:szCs w:val="32"/>
        </w:rPr>
        <w:t>，体育生活化、全民健身科学化程度明显提高，竞技体育综合实力有所增长，体育产业品牌特色明显，体育设施布局更加合理</w:t>
      </w:r>
      <w:r>
        <w:rPr>
          <w:rFonts w:hint="eastAsia" w:ascii="仿宋_GB2312" w:hAnsi="仿宋" w:eastAsia="仿宋_GB2312" w:cs="仿宋_GB2312"/>
          <w:sz w:val="32"/>
          <w:szCs w:val="32"/>
        </w:rPr>
        <w:t>。</w:t>
      </w:r>
    </w:p>
    <w:p>
      <w:pPr>
        <w:spacing w:line="560" w:lineRule="exact"/>
        <w:ind w:firstLine="645"/>
        <w:rPr>
          <w:rFonts w:ascii="仿宋_GB2312" w:hAnsi="仿宋" w:eastAsia="仿宋_GB2312"/>
          <w:sz w:val="32"/>
          <w:szCs w:val="32"/>
        </w:rPr>
      </w:pPr>
      <w:r>
        <w:rPr>
          <w:rFonts w:hint="eastAsia" w:ascii="楷体_GB2312" w:hAnsi="仿宋" w:eastAsia="楷体_GB2312" w:cs="楷体_GB2312"/>
          <w:b/>
          <w:bCs/>
          <w:sz w:val="32"/>
          <w:szCs w:val="32"/>
        </w:rPr>
        <w:t>全民健身迈上新台阶。</w:t>
      </w:r>
      <w:r>
        <w:rPr>
          <w:rFonts w:hint="eastAsia" w:ascii="仿宋_GB2312" w:hAnsi="仿宋" w:eastAsia="仿宋_GB2312" w:cs="楷体_GB2312"/>
          <w:bCs/>
          <w:sz w:val="32"/>
          <w:szCs w:val="32"/>
        </w:rPr>
        <w:t>全民健身公共服务体系进一步完善，</w:t>
      </w:r>
      <w:r>
        <w:rPr>
          <w:rFonts w:hint="eastAsia" w:ascii="仿宋_GB2312" w:hAnsi="仿宋" w:eastAsia="仿宋_GB2312" w:cs="仿宋_GB2312"/>
          <w:sz w:val="32"/>
          <w:szCs w:val="32"/>
        </w:rPr>
        <w:t>群众体育工作机制更加健全，群众参与健身活动的广泛性和实效性进一步提高，健身场地设施供给更加丰富。到2025年，人均体育场地面积显著提高，城乡居民达到《国民体质测定标准》合格以上的人数比例不少于92%；经常参加体育锻炼人数比例达到48%以上；每千人社会体育指导员不少于2.7名。</w:t>
      </w:r>
    </w:p>
    <w:p>
      <w:pPr>
        <w:spacing w:line="560" w:lineRule="exact"/>
        <w:ind w:firstLine="645"/>
        <w:rPr>
          <w:rFonts w:ascii="仿宋_GB2312" w:hAnsi="仿宋" w:eastAsia="仿宋_GB2312"/>
          <w:sz w:val="32"/>
          <w:szCs w:val="32"/>
        </w:rPr>
      </w:pPr>
      <w:r>
        <w:rPr>
          <w:rFonts w:hint="eastAsia" w:ascii="楷体_GB2312" w:hAnsi="仿宋" w:eastAsia="楷体_GB2312" w:cs="楷体_GB2312"/>
          <w:b/>
          <w:bCs/>
          <w:sz w:val="32"/>
          <w:szCs w:val="32"/>
        </w:rPr>
        <w:t>竞技体育实现新突破。</w:t>
      </w:r>
      <w:r>
        <w:rPr>
          <w:rFonts w:hint="eastAsia" w:ascii="仿宋_GB2312" w:hAnsi="仿宋" w:eastAsia="仿宋_GB2312" w:cs="仿宋_GB2312"/>
          <w:sz w:val="32"/>
          <w:szCs w:val="32"/>
        </w:rPr>
        <w:t>项目布局更加完善，巩固金牌优势项目，如乒乓球、游泳；做强传统基础项目，如足球、篮球、田径；支持鼓励特色项目，如摔柔、散打、击剑；扶植新兴项目，如棋类、网球、棒球、自行车。完善竞技体育管理体制、激励机制；做好青少年体育后备人才梯队建设。力争天津市第十五届运动会金牌、奖牌、团体总分再创新高。深化体教结合，促进体育后备人才培养。促进青少年提高身体素养和养成健康生活方式，青少年普遍掌握1-2项运动技能。</w:t>
      </w:r>
    </w:p>
    <w:p>
      <w:pPr>
        <w:spacing w:line="560" w:lineRule="exact"/>
        <w:ind w:firstLine="645"/>
        <w:rPr>
          <w:rFonts w:ascii="仿宋_GB2312" w:hAnsi="仿宋" w:eastAsia="仿宋_GB2312" w:cs="仿宋_GB2312"/>
          <w:sz w:val="32"/>
          <w:szCs w:val="32"/>
        </w:rPr>
      </w:pPr>
      <w:r>
        <w:rPr>
          <w:rFonts w:hint="eastAsia" w:ascii="楷体_GB2312" w:hAnsi="仿宋" w:eastAsia="楷体_GB2312" w:cs="楷体_GB2312"/>
          <w:b/>
          <w:bCs/>
          <w:sz w:val="32"/>
          <w:szCs w:val="32"/>
        </w:rPr>
        <w:t>体育产业取得新成果。</w:t>
      </w:r>
      <w:r>
        <w:rPr>
          <w:rFonts w:hint="eastAsia" w:ascii="仿宋_GB2312" w:hAnsi="仿宋" w:eastAsia="仿宋_GB2312" w:cs="仿宋_GB2312"/>
          <w:sz w:val="32"/>
          <w:szCs w:val="32"/>
        </w:rPr>
        <w:t>升级体育竞赛表演、健身娱乐与体育培训业，拓宽体育休闲、体育旅游、体育用品制造与销售业，深化产业联动，推进产业聚集，疏通产业链条，优化供给品质，形成一种格局清晰、产链完整、多元投入、市场活跃、融入区域经济社会发展的体育产业面貌。</w:t>
      </w:r>
    </w:p>
    <w:p>
      <w:pPr>
        <w:spacing w:line="560" w:lineRule="exact"/>
        <w:ind w:firstLine="645"/>
        <w:rPr>
          <w:rFonts w:ascii="仿宋_GB2312" w:hAnsi="仿宋" w:eastAsia="仿宋_GB2312" w:cs="仿宋_GB2312"/>
          <w:sz w:val="32"/>
          <w:szCs w:val="32"/>
        </w:rPr>
      </w:pPr>
      <w:r>
        <w:rPr>
          <w:rFonts w:hint="eastAsia" w:ascii="楷体_GB2312" w:hAnsi="仿宋" w:eastAsia="楷体_GB2312" w:cs="楷体_GB2312"/>
          <w:b/>
          <w:bCs/>
          <w:sz w:val="32"/>
          <w:szCs w:val="32"/>
        </w:rPr>
        <w:t>体育文化建设取得新进展。</w:t>
      </w:r>
      <w:r>
        <w:rPr>
          <w:rFonts w:hint="eastAsia" w:ascii="仿宋_GB2312" w:hAnsi="仿宋" w:eastAsia="仿宋_GB2312" w:cs="仿宋_GB2312"/>
          <w:sz w:val="32"/>
          <w:szCs w:val="32"/>
        </w:rPr>
        <w:t>着力增强我区体育文化竞争力，大力弘扬以为国争光为核心的中华体育精神和以天津女排精神为核心的天津体育精神，着力提升红桥体育文化软实力。</w:t>
      </w:r>
    </w:p>
    <w:p>
      <w:pPr>
        <w:spacing w:line="560" w:lineRule="exact"/>
        <w:ind w:firstLine="645"/>
        <w:rPr>
          <w:rFonts w:ascii="仿宋_GB2312" w:hAnsi="仿宋" w:eastAsia="仿宋_GB2312" w:cs="仿宋_GB2312"/>
          <w:sz w:val="32"/>
          <w:szCs w:val="32"/>
        </w:rPr>
      </w:pPr>
      <w:r>
        <w:rPr>
          <w:rFonts w:hint="eastAsia" w:ascii="楷体_GB2312" w:hAnsi="仿宋" w:eastAsia="楷体_GB2312" w:cs="仿宋_GB2312"/>
          <w:b/>
          <w:sz w:val="32"/>
          <w:szCs w:val="32"/>
        </w:rPr>
        <w:t>体育基础性工作取得新成效。</w:t>
      </w:r>
      <w:r>
        <w:rPr>
          <w:rFonts w:hint="eastAsia" w:ascii="仿宋_GB2312" w:hAnsi="仿宋" w:eastAsia="仿宋_GB2312" w:cs="仿宋_GB2312"/>
          <w:sz w:val="32"/>
          <w:szCs w:val="32"/>
        </w:rPr>
        <w:t>深化红桥体育领域“放管服”改革，加强对体育赛事、体育市场经营等活动的事中事后监管，不断优化服务。全面加强体育法治建设，增强按制度办事、依法办事意识，运用制度和法律管理推动体育事业发展。</w:t>
      </w:r>
    </w:p>
    <w:p>
      <w:pPr>
        <w:spacing w:line="560" w:lineRule="exact"/>
        <w:ind w:firstLine="645"/>
        <w:rPr>
          <w:rFonts w:ascii="黑体" w:hAnsi="黑体" w:eastAsia="黑体"/>
          <w:sz w:val="32"/>
          <w:szCs w:val="32"/>
        </w:rPr>
      </w:pPr>
      <w:r>
        <w:rPr>
          <w:rFonts w:hint="eastAsia" w:ascii="黑体" w:hAnsi="黑体" w:eastAsia="黑体" w:cs="黑体"/>
          <w:sz w:val="32"/>
          <w:szCs w:val="32"/>
        </w:rPr>
        <w:t>四、主要任务</w:t>
      </w:r>
    </w:p>
    <w:p>
      <w:pPr>
        <w:spacing w:line="560" w:lineRule="exact"/>
        <w:ind w:firstLine="642" w:firstLineChars="200"/>
        <w:rPr>
          <w:rFonts w:ascii="楷体_GB2312" w:hAnsi="仿宋" w:eastAsia="楷体_GB2312"/>
          <w:b/>
          <w:bCs/>
          <w:sz w:val="32"/>
          <w:szCs w:val="32"/>
        </w:rPr>
      </w:pPr>
      <w:r>
        <w:rPr>
          <w:rFonts w:hint="eastAsia" w:ascii="楷体_GB2312" w:hAnsi="仿宋" w:eastAsia="楷体_GB2312" w:cs="楷体_GB2312"/>
          <w:b/>
          <w:bCs/>
          <w:sz w:val="32"/>
          <w:szCs w:val="32"/>
        </w:rPr>
        <w:t>（一）推进全民健身公共服务体系建设</w:t>
      </w:r>
    </w:p>
    <w:p>
      <w:pPr>
        <w:spacing w:line="560" w:lineRule="exact"/>
        <w:ind w:firstLine="642" w:firstLineChars="200"/>
        <w:rPr>
          <w:rFonts w:ascii="仿宋_GB2312" w:hAnsi="仿宋" w:eastAsia="仿宋_GB2312" w:cs="仿宋_GB2312"/>
          <w:sz w:val="32"/>
          <w:szCs w:val="32"/>
        </w:rPr>
      </w:pPr>
      <w:r>
        <w:rPr>
          <w:rFonts w:hint="eastAsia" w:ascii="仿宋_GB2312" w:hAnsi="仿宋" w:eastAsia="仿宋_GB2312" w:cs="仿宋_GB2312"/>
          <w:b/>
          <w:sz w:val="32"/>
          <w:szCs w:val="32"/>
        </w:rPr>
        <w:t>1.持续加大体育设施建设。</w:t>
      </w:r>
      <w:r>
        <w:rPr>
          <w:rFonts w:hint="eastAsia" w:ascii="仿宋_GB2312" w:hAnsi="仿宋" w:eastAsia="仿宋_GB2312" w:cs="仿宋_GB2312"/>
          <w:sz w:val="32"/>
          <w:szCs w:val="32"/>
        </w:rPr>
        <w:t>结合我区新整理出的</w:t>
      </w:r>
      <w:r>
        <w:rPr>
          <w:rFonts w:ascii="仿宋_GB2312" w:hAnsi="仿宋" w:eastAsia="仿宋_GB2312" w:cs="仿宋_GB2312"/>
          <w:sz w:val="32"/>
          <w:szCs w:val="32"/>
        </w:rPr>
        <w:t>3000</w:t>
      </w:r>
      <w:r>
        <w:rPr>
          <w:rFonts w:hint="eastAsia" w:ascii="仿宋_GB2312" w:hAnsi="仿宋" w:eastAsia="仿宋_GB2312" w:cs="仿宋_GB2312"/>
          <w:sz w:val="32"/>
          <w:szCs w:val="32"/>
        </w:rPr>
        <w:t>余亩土地以及新建小区规划，深挖土地资源，合理布局，在符合条件的地块上更新、新建健身园和健身设施。进一步推动体育中心和11人制足球场地建设，加大力度做好社区健身中心、体育园建设，构建我区十五分钟健身圈。强化属地管理，加大区、街道、社区对体育器材设施投入和管理力度。加强城市空闲地、边角地、公园绿地、城市路桥附属用地、厂房、建筑屋顶等资源的公益性利用，鼓励支持各方力量兴建体育设施。加强体育场馆的管理维护和开发利用，鼓励社会团体和个人免费或低收费预约使用体育设施。积极稳妥推进我区各类体育设施，尤其是学校体育场馆对外开放，建立完善政策措施，开展学校体育场馆对外开放试点工作，逐步扩大覆盖面。</w:t>
      </w:r>
    </w:p>
    <w:p>
      <w:pPr>
        <w:spacing w:line="560" w:lineRule="exact"/>
        <w:ind w:firstLine="642" w:firstLineChars="200"/>
        <w:rPr>
          <w:rFonts w:ascii="仿宋_GB2312" w:hAnsi="仿宋" w:eastAsia="仿宋_GB2312" w:cs="仿宋_GB2312"/>
          <w:bCs/>
          <w:sz w:val="32"/>
          <w:szCs w:val="32"/>
        </w:rPr>
      </w:pPr>
      <w:r>
        <w:rPr>
          <w:rFonts w:hint="eastAsia" w:ascii="仿宋_GB2312" w:hAnsi="仿宋" w:eastAsia="仿宋_GB2312" w:cs="仿宋_GB2312"/>
          <w:b/>
          <w:bCs/>
          <w:sz w:val="32"/>
          <w:szCs w:val="32"/>
        </w:rPr>
        <w:t>2.广泛开展全民健身活动。</w:t>
      </w:r>
      <w:r>
        <w:rPr>
          <w:rFonts w:hint="eastAsia" w:ascii="仿宋_GB2312" w:hAnsi="仿宋" w:eastAsia="仿宋_GB2312" w:cs="仿宋_GB2312"/>
          <w:sz w:val="32"/>
          <w:szCs w:val="32"/>
        </w:rPr>
        <w:t>落实全民健身计划，倡导市民每天健身一小时。我区每年增加健身人群</w:t>
      </w:r>
      <w:r>
        <w:rPr>
          <w:rFonts w:ascii="仿宋_GB2312" w:hAnsi="仿宋" w:eastAsia="仿宋_GB2312" w:cs="仿宋_GB2312"/>
          <w:sz w:val="32"/>
          <w:szCs w:val="32"/>
        </w:rPr>
        <w:t>550</w:t>
      </w:r>
      <w:r>
        <w:rPr>
          <w:rFonts w:hint="eastAsia" w:ascii="仿宋_GB2312" w:hAnsi="仿宋" w:eastAsia="仿宋_GB2312" w:cs="仿宋_GB2312"/>
          <w:sz w:val="32"/>
          <w:szCs w:val="32"/>
        </w:rPr>
        <w:t>人左右，每年新增有规模、有组织的健身队伍</w:t>
      </w:r>
      <w:r>
        <w:rPr>
          <w:rFonts w:ascii="仿宋_GB2312" w:hAnsi="仿宋" w:eastAsia="仿宋_GB2312" w:cs="仿宋_GB2312"/>
          <w:sz w:val="32"/>
          <w:szCs w:val="32"/>
        </w:rPr>
        <w:t>4</w:t>
      </w:r>
      <w:r>
        <w:rPr>
          <w:rFonts w:hint="eastAsia" w:ascii="仿宋_GB2312" w:hAnsi="仿宋" w:eastAsia="仿宋_GB2312" w:cs="仿宋_GB2312"/>
          <w:sz w:val="32"/>
          <w:szCs w:val="32"/>
        </w:rPr>
        <w:t>支，到</w:t>
      </w:r>
      <w:r>
        <w:rPr>
          <w:rFonts w:ascii="仿宋_GB2312" w:hAnsi="仿宋" w:eastAsia="仿宋_GB2312" w:cs="仿宋_GB2312"/>
          <w:sz w:val="32"/>
          <w:szCs w:val="32"/>
        </w:rPr>
        <w:t>2025</w:t>
      </w:r>
      <w:r>
        <w:rPr>
          <w:rFonts w:hint="eastAsia" w:ascii="仿宋_GB2312" w:hAnsi="仿宋" w:eastAsia="仿宋_GB2312" w:cs="仿宋_GB2312"/>
          <w:sz w:val="32"/>
          <w:szCs w:val="32"/>
        </w:rPr>
        <w:t>年全区总数达到约</w:t>
      </w:r>
      <w:r>
        <w:rPr>
          <w:rFonts w:ascii="仿宋_GB2312" w:hAnsi="仿宋" w:eastAsia="仿宋_GB2312" w:cs="仿宋_GB2312"/>
          <w:sz w:val="32"/>
          <w:szCs w:val="32"/>
        </w:rPr>
        <w:t>150</w:t>
      </w:r>
      <w:r>
        <w:rPr>
          <w:rFonts w:hint="eastAsia" w:ascii="仿宋_GB2312" w:hAnsi="仿宋" w:eastAsia="仿宋_GB2312" w:cs="仿宋_GB2312"/>
          <w:sz w:val="32"/>
          <w:szCs w:val="32"/>
        </w:rPr>
        <w:t>支。</w:t>
      </w:r>
      <w:r>
        <w:rPr>
          <w:rFonts w:hint="eastAsia" w:ascii="仿宋_GB2312" w:hAnsi="仿宋" w:eastAsia="仿宋_GB2312" w:cs="仿宋_GB2312"/>
          <w:bCs/>
          <w:sz w:val="32"/>
          <w:szCs w:val="32"/>
        </w:rPr>
        <w:t>广泛开展各类人群体育活动，开发适合不同人群、不同地域和不同行业特点的特色运动项目。</w:t>
      </w:r>
      <w:r>
        <w:rPr>
          <w:rFonts w:hint="eastAsia" w:ascii="仿宋_GB2312" w:hAnsi="仿宋" w:eastAsia="仿宋_GB2312" w:cs="仿宋_GB2312"/>
          <w:sz w:val="32"/>
          <w:szCs w:val="32"/>
        </w:rPr>
        <w:t>大力发展社区体育，结合节点组织开展健身大拜年、红桥武术节、家庭趣味运动会、全民健身日系列活动、全国武术之乡比赛等大型体育活动，展示具有红桥民族特色的空竹、花毽、八极拳、回族重刀、太极拳等品牌性的健身项目，弘扬我区群众体育丰厚的文化底蕴。</w:t>
      </w:r>
      <w:r>
        <w:rPr>
          <w:rFonts w:hint="eastAsia" w:ascii="仿宋_GB2312" w:hAnsi="仿宋" w:eastAsia="仿宋_GB2312" w:cs="仿宋_GB2312"/>
          <w:bCs/>
          <w:sz w:val="32"/>
          <w:szCs w:val="32"/>
        </w:rPr>
        <w:t>依托社区建立百姓“长效化”健身和赛事活动服务体系。大力发展休闲体育和休闲体育产业发展，引领绿色、环保、健康生活方式。推动落实《国家体育锻炼标准》，广泛开展国家体育锻炼标准达标测验活动，达标率保持90%以上。积极配合冰雪运动“南展西扩东进”国家战略，积极推进冰雪运动进校园、进社区，普及冬奥知识和冰雪运动，推动“轮转冰”运动。</w:t>
      </w:r>
    </w:p>
    <w:p>
      <w:pPr>
        <w:spacing w:line="560" w:lineRule="exact"/>
        <w:ind w:firstLine="629" w:firstLineChars="196"/>
        <w:rPr>
          <w:rFonts w:ascii="仿宋_GB2312" w:hAnsi="仿宋" w:eastAsia="仿宋_GB2312"/>
          <w:sz w:val="32"/>
          <w:szCs w:val="32"/>
        </w:rPr>
      </w:pPr>
      <w:r>
        <w:rPr>
          <w:rFonts w:hint="eastAsia" w:ascii="仿宋_GB2312" w:hAnsi="仿宋" w:eastAsia="仿宋_GB2312" w:cs="仿宋_GB2312"/>
          <w:b/>
          <w:bCs/>
          <w:sz w:val="32"/>
          <w:szCs w:val="32"/>
        </w:rPr>
        <w:t>3、积极推动体育组织建设。</w:t>
      </w:r>
      <w:r>
        <w:rPr>
          <w:rFonts w:hint="eastAsia" w:ascii="仿宋_GB2312" w:hAnsi="仿宋" w:eastAsia="仿宋_GB2312" w:cs="仿宋_GB2312"/>
          <w:sz w:val="32"/>
          <w:szCs w:val="32"/>
        </w:rPr>
        <w:t>加强社会体育指导员队伍建设</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组织宣传科学健身知识，大力开展体育培训、健身指导、竞赛表演等活动，向社会提供更多优质的专业服务。以每年递增</w:t>
      </w:r>
      <w:r>
        <w:rPr>
          <w:rFonts w:ascii="仿宋_GB2312" w:hAnsi="仿宋" w:eastAsia="仿宋_GB2312" w:cs="仿宋_GB2312"/>
          <w:sz w:val="32"/>
          <w:szCs w:val="32"/>
        </w:rPr>
        <w:t>80</w:t>
      </w:r>
      <w:r>
        <w:rPr>
          <w:rFonts w:hint="eastAsia" w:ascii="仿宋_GB2312" w:hAnsi="仿宋" w:eastAsia="仿宋_GB2312" w:cs="仿宋_GB2312"/>
          <w:sz w:val="32"/>
          <w:szCs w:val="32"/>
        </w:rPr>
        <w:t>名左右社会指导员的数量，到</w:t>
      </w:r>
      <w:r>
        <w:rPr>
          <w:rFonts w:ascii="仿宋_GB2312" w:hAnsi="仿宋" w:eastAsia="仿宋_GB2312" w:cs="仿宋_GB2312"/>
          <w:sz w:val="32"/>
          <w:szCs w:val="32"/>
        </w:rPr>
        <w:t>2025</w:t>
      </w:r>
      <w:r>
        <w:rPr>
          <w:rFonts w:hint="eastAsia" w:ascii="仿宋_GB2312" w:hAnsi="仿宋" w:eastAsia="仿宋_GB2312" w:cs="仿宋_GB2312"/>
          <w:sz w:val="32"/>
          <w:szCs w:val="32"/>
        </w:rPr>
        <w:t>年社会体育指导员数量力争达到</w:t>
      </w:r>
      <w:r>
        <w:rPr>
          <w:rFonts w:ascii="仿宋_GB2312" w:hAnsi="仿宋" w:eastAsia="仿宋_GB2312" w:cs="仿宋_GB2312"/>
          <w:sz w:val="32"/>
          <w:szCs w:val="32"/>
        </w:rPr>
        <w:t>2000</w:t>
      </w:r>
      <w:r>
        <w:rPr>
          <w:rFonts w:hint="eastAsia" w:ascii="仿宋_GB2312" w:hAnsi="仿宋" w:eastAsia="仿宋_GB2312" w:cs="仿宋_GB2312"/>
          <w:sz w:val="32"/>
          <w:szCs w:val="32"/>
        </w:rPr>
        <w:t>人。加强全民健身志愿者队伍建设，形成结构合理、覆盖城乡、服务到位的全民健身志愿服务队伍。加强各类协会组织建设，激发生机与活力，形成体制机制健全，运行发展畅通，监督评估完善的社会组织。加强健身会组建力度，不断壮大社会体育指导员队伍，以点带面，提升全民健身工作规范化、科学化水平。继续保持我区职工体育、少数民族体育、残疾人体育的特色，不断丰富适合特殊人群参与的健身内容，推动全民健身进程。</w:t>
      </w:r>
    </w:p>
    <w:p>
      <w:pPr>
        <w:spacing w:line="590" w:lineRule="exact"/>
        <w:ind w:firstLine="642" w:firstLineChars="200"/>
        <w:rPr>
          <w:rFonts w:ascii="仿宋_GB2312" w:hAnsi="仿宋" w:eastAsia="仿宋_GB2312"/>
          <w:sz w:val="32"/>
          <w:szCs w:val="32"/>
        </w:rPr>
      </w:pPr>
      <w:r>
        <w:rPr>
          <w:rFonts w:hint="eastAsia" w:ascii="仿宋_GB2312" w:hAnsi="仿宋" w:eastAsia="仿宋_GB2312" w:cs="仿宋_GB2312"/>
          <w:b/>
          <w:bCs/>
          <w:sz w:val="32"/>
          <w:szCs w:val="32"/>
        </w:rPr>
        <w:t>4、提升体育智慧化服务水平。</w:t>
      </w:r>
      <w:r>
        <w:rPr>
          <w:rFonts w:hint="eastAsia" w:ascii="仿宋_GB2312" w:hAnsi="仿宋" w:eastAsia="仿宋_GB2312" w:cs="仿宋_GB2312"/>
          <w:sz w:val="32"/>
          <w:szCs w:val="32"/>
        </w:rPr>
        <w:t>构建智慧体育大平台。创新公共体育服务方式，适当引入市场机制，积极探索“互联网</w:t>
      </w:r>
      <w:r>
        <w:rPr>
          <w:rFonts w:ascii="仿宋_GB2312" w:hAnsi="仿宋" w:eastAsia="仿宋_GB2312" w:cs="仿宋_GB2312"/>
          <w:sz w:val="32"/>
          <w:szCs w:val="32"/>
        </w:rPr>
        <w:t>+</w:t>
      </w:r>
      <w:r>
        <w:rPr>
          <w:rFonts w:hint="eastAsia" w:ascii="仿宋_GB2312" w:hAnsi="仿宋" w:eastAsia="仿宋_GB2312" w:cs="仿宋_GB2312"/>
          <w:sz w:val="32"/>
          <w:szCs w:val="32"/>
        </w:rPr>
        <w:t>体育服务”模式，推行菜单式服务，推进体育服务数字化网络化。建设体育公共信息服务平台，设置联网的信息服务功能，提供场地设施查询预定、体育健身指导、体育消费知识、赛事活动信息、慢病防治讲座、信息咨询等多方面信息，融指导性、趣味性和互动性于一体，形成结构合理、网络健全的数字化服务体系。拓展体育交流智能平台，运用大数据技术，通过资源共享、智能调度、应用服务等，实现体育资源库群的资源共享和互联互通，运用手机移动终端，满足市民随时、随地、随身和便捷地获取体育信息的需求。</w:t>
      </w:r>
    </w:p>
    <w:p>
      <w:pPr>
        <w:spacing w:line="560" w:lineRule="exact"/>
        <w:ind w:firstLine="642" w:firstLineChars="200"/>
        <w:rPr>
          <w:rFonts w:ascii="楷体_GB2312" w:hAnsi="仿宋" w:eastAsia="楷体_GB2312"/>
          <w:b/>
          <w:bCs/>
          <w:sz w:val="32"/>
          <w:szCs w:val="32"/>
        </w:rPr>
      </w:pPr>
      <w:r>
        <w:rPr>
          <w:rFonts w:hint="eastAsia" w:ascii="楷体_GB2312" w:hAnsi="仿宋" w:eastAsia="楷体_GB2312" w:cs="楷体_GB2312"/>
          <w:b/>
          <w:bCs/>
          <w:sz w:val="32"/>
          <w:szCs w:val="32"/>
        </w:rPr>
        <w:t>（二）提升竞技体育综合实力</w:t>
      </w:r>
    </w:p>
    <w:p>
      <w:pPr>
        <w:tabs>
          <w:tab w:val="left" w:pos="8222"/>
        </w:tabs>
        <w:spacing w:line="560" w:lineRule="exact"/>
        <w:ind w:firstLine="624"/>
        <w:rPr>
          <w:rFonts w:ascii="仿宋_GB2312" w:hAnsi="仿宋" w:eastAsia="仿宋_GB2312"/>
          <w:sz w:val="32"/>
          <w:szCs w:val="32"/>
        </w:rPr>
      </w:pPr>
      <w:r>
        <w:rPr>
          <w:rFonts w:ascii="仿宋_GB2312" w:hAnsi="仿宋" w:eastAsia="仿宋_GB2312" w:cs="仿宋_GB2312"/>
          <w:b/>
          <w:bCs/>
          <w:sz w:val="32"/>
          <w:szCs w:val="32"/>
        </w:rPr>
        <w:t>1</w:t>
      </w:r>
      <w:r>
        <w:rPr>
          <w:rFonts w:hint="eastAsia" w:ascii="仿宋_GB2312" w:hAnsi="仿宋" w:eastAsia="仿宋_GB2312" w:cs="仿宋_GB2312"/>
          <w:b/>
          <w:bCs/>
          <w:sz w:val="32"/>
          <w:szCs w:val="32"/>
        </w:rPr>
        <w:t>.调整优化项目结构。</w:t>
      </w:r>
      <w:r>
        <w:rPr>
          <w:rFonts w:hint="eastAsia" w:ascii="仿宋_GB2312" w:hAnsi="仿宋" w:eastAsia="仿宋_GB2312" w:cs="仿宋_GB2312"/>
          <w:sz w:val="32"/>
          <w:szCs w:val="32"/>
        </w:rPr>
        <w:t>按照突出重点、优化结构、拓展规模、激发活力的原则，积极推进业体校制度改革，优势项目保持优势，潜优势项目加快发展，基础项目和集体球类项目稳步提高。重点扶持足球、篮球、排球等基础大项，继续培育跆拳道、乒乓球、游泳和摔柔、击剑、田径等稳定夺金的优势项目集群，提升竞技项目整体实力。进一步鼓励广大教练员向市体校及专业队输送运动员，树立以优带常规的训练格局新思维，把发现与培养放到同等重要的位置。高度重视适龄段的运动员选拔培养工作，强化人才梯队建设。</w:t>
      </w:r>
    </w:p>
    <w:p>
      <w:pPr>
        <w:spacing w:line="560" w:lineRule="exact"/>
        <w:ind w:firstLine="624"/>
        <w:rPr>
          <w:rFonts w:ascii="仿宋_GB2312" w:hAnsi="仿宋" w:eastAsia="仿宋_GB2312"/>
          <w:sz w:val="32"/>
          <w:szCs w:val="32"/>
        </w:rPr>
      </w:pPr>
      <w:r>
        <w:rPr>
          <w:rFonts w:ascii="仿宋_GB2312" w:hAnsi="仿宋" w:eastAsia="仿宋_GB2312" w:cs="仿宋_GB2312"/>
          <w:b/>
          <w:bCs/>
          <w:sz w:val="32"/>
          <w:szCs w:val="32"/>
        </w:rPr>
        <w:t>2</w:t>
      </w:r>
      <w:r>
        <w:rPr>
          <w:rFonts w:hint="eastAsia" w:ascii="仿宋_GB2312" w:hAnsi="仿宋" w:eastAsia="仿宋_GB2312" w:cs="仿宋_GB2312"/>
          <w:b/>
          <w:bCs/>
          <w:sz w:val="32"/>
          <w:szCs w:val="32"/>
        </w:rPr>
        <w:t>.创新青少年培养机制。</w:t>
      </w:r>
      <w:r>
        <w:rPr>
          <w:rFonts w:hint="eastAsia" w:ascii="仿宋_GB2312" w:hAnsi="仿宋" w:eastAsia="仿宋_GB2312" w:cs="仿宋_GB2312"/>
          <w:sz w:val="32"/>
          <w:szCs w:val="32"/>
        </w:rPr>
        <w:t>完善青少年体育训练评估和奖励机制，全方位地提升青少年体育训练体系的整体水平。进一步完善教练员培养、培训体系，抓好中青年教练员、不同项目教练员的分级分类培训，提高运动队的管理水平和训练水平。及时发现好苗子、科学选拔、合理输送，不断充实我区高水平体育后备人才资源，重点发现培养一批在高水平赛事中具有夺金争牌实力的尖子运动员。</w:t>
      </w:r>
    </w:p>
    <w:p>
      <w:pPr>
        <w:spacing w:line="560" w:lineRule="exact"/>
        <w:ind w:firstLine="624"/>
        <w:rPr>
          <w:rFonts w:ascii="仿宋_GB2312" w:hAnsi="仿宋" w:eastAsia="仿宋_GB2312"/>
          <w:sz w:val="32"/>
          <w:szCs w:val="32"/>
        </w:rPr>
      </w:pPr>
      <w:r>
        <w:rPr>
          <w:rFonts w:ascii="仿宋_GB2312" w:hAnsi="仿宋" w:eastAsia="仿宋_GB2312" w:cs="仿宋_GB2312"/>
          <w:b/>
          <w:bCs/>
          <w:sz w:val="32"/>
          <w:szCs w:val="32"/>
        </w:rPr>
        <w:t>3</w:t>
      </w:r>
      <w:r>
        <w:rPr>
          <w:rFonts w:hint="eastAsia" w:ascii="仿宋_GB2312" w:hAnsi="仿宋" w:eastAsia="仿宋_GB2312" w:cs="仿宋_GB2312"/>
          <w:b/>
          <w:bCs/>
          <w:sz w:val="32"/>
          <w:szCs w:val="32"/>
        </w:rPr>
        <w:t>.抓好业体校建设。</w:t>
      </w:r>
      <w:r>
        <w:rPr>
          <w:rFonts w:hint="eastAsia" w:ascii="仿宋_GB2312" w:hAnsi="仿宋" w:eastAsia="仿宋_GB2312" w:cs="仿宋_GB2312"/>
          <w:sz w:val="32"/>
          <w:szCs w:val="32"/>
        </w:rPr>
        <w:t>大力加强区业体校建设，发挥全区竞技体育人才培养的“领头羊”作用，积极推动区业体校和企业以及相关学校联办体育项目，实现项目进企业、进学校，教练进场馆、进校园，广泛调动社会体育资源培养体育后备人才。探索业训考评新模式，坚持体育、教育密切结合，制定统一的总目标，联动的新机制，共同抓好落实。采取多种形式，大力改善区业体校办学条件，积极探索多元化办学模式，提升运动员文化教育和保障水平。</w:t>
      </w:r>
    </w:p>
    <w:p>
      <w:pPr>
        <w:spacing w:line="560" w:lineRule="exact"/>
        <w:ind w:firstLine="624"/>
        <w:rPr>
          <w:rFonts w:ascii="仿宋_GB2312" w:hAnsi="仿宋" w:eastAsia="仿宋_GB2312"/>
          <w:sz w:val="32"/>
          <w:szCs w:val="32"/>
        </w:rPr>
      </w:pPr>
      <w:r>
        <w:rPr>
          <w:rFonts w:ascii="仿宋_GB2312" w:hAnsi="仿宋" w:eastAsia="仿宋_GB2312" w:cs="仿宋_GB2312"/>
          <w:b/>
          <w:bCs/>
          <w:sz w:val="32"/>
          <w:szCs w:val="32"/>
        </w:rPr>
        <w:t>4</w:t>
      </w:r>
      <w:r>
        <w:rPr>
          <w:rFonts w:hint="eastAsia" w:ascii="仿宋_GB2312" w:hAnsi="仿宋" w:eastAsia="仿宋_GB2312" w:cs="仿宋_GB2312"/>
          <w:b/>
          <w:bCs/>
          <w:sz w:val="32"/>
          <w:szCs w:val="32"/>
        </w:rPr>
        <w:t>.加强体育特色学校建设。</w:t>
      </w:r>
      <w:r>
        <w:rPr>
          <w:rFonts w:hint="eastAsia" w:ascii="仿宋_GB2312" w:hAnsi="仿宋" w:eastAsia="仿宋_GB2312" w:cs="仿宋_GB2312"/>
          <w:sz w:val="32"/>
          <w:szCs w:val="32"/>
        </w:rPr>
        <w:t>推进我区体育传统项目学校建设，完善课余训练体系，扩大项目布局，普及项目发展，坚持突出重点、优化结构，走精兵之路，抓好乒乓球、足球等区域优势项目和潜优势项目。充分发挥竞赛的杠杆作用，以赛促练提升能效。加强竞技训练基础管理，不以竞技比赛成绩作为衡量体育工作绩效的唯一标准，不断提升办训办学专业化水平，优化基础教育阶段课程实施方案与训练计划。继续打造我区实验小学、丁字沽小学足球基地建设和跃进里小学乒乓球基地建设，提升学校体育硬件设施，力争做到项目和场地、硬件和软件有机对接，为学校体育项目“一条龙”建设提供有力的保障。</w:t>
      </w:r>
    </w:p>
    <w:p>
      <w:pPr>
        <w:spacing w:line="560" w:lineRule="exact"/>
        <w:ind w:firstLine="642" w:firstLineChars="200"/>
        <w:rPr>
          <w:rFonts w:ascii="楷体_GB2312" w:hAnsi="仿宋" w:eastAsia="楷体_GB2312"/>
          <w:b/>
          <w:bCs/>
          <w:sz w:val="32"/>
          <w:szCs w:val="32"/>
        </w:rPr>
      </w:pPr>
      <w:r>
        <w:rPr>
          <w:rFonts w:hint="eastAsia" w:ascii="楷体_GB2312" w:hAnsi="仿宋" w:eastAsia="楷体_GB2312" w:cs="楷体_GB2312"/>
          <w:b/>
          <w:bCs/>
          <w:sz w:val="32"/>
          <w:szCs w:val="32"/>
        </w:rPr>
        <w:t>（三）实现体育产业的良性发展</w:t>
      </w:r>
    </w:p>
    <w:p>
      <w:pPr>
        <w:widowControl/>
        <w:spacing w:line="560" w:lineRule="exact"/>
        <w:ind w:firstLine="640" w:firstLineChars="200"/>
        <w:jc w:val="left"/>
        <w:rPr>
          <w:rFonts w:ascii="仿宋_GB2312" w:hAnsi="仿宋" w:eastAsia="仿宋_GB2312" w:cs="仿宋_GB2312"/>
          <w:kern w:val="0"/>
          <w:sz w:val="32"/>
          <w:szCs w:val="32"/>
        </w:rPr>
      </w:pPr>
      <w:r>
        <w:rPr>
          <w:rFonts w:hint="eastAsia" w:ascii="仿宋_GB2312" w:hAnsi="仿宋" w:eastAsia="仿宋_GB2312" w:cs="仿宋_GB2312"/>
          <w:kern w:val="0"/>
          <w:sz w:val="32"/>
          <w:szCs w:val="32"/>
        </w:rPr>
        <w:t>继续贯彻落实天津市人民政府</w:t>
      </w:r>
      <w:r>
        <w:rPr>
          <w:rFonts w:hint="eastAsia" w:ascii="仿宋_GB2312" w:hAnsi="仿宋" w:eastAsia="仿宋_GB2312" w:cs="仿宋_GB2312"/>
          <w:sz w:val="32"/>
          <w:szCs w:val="32"/>
        </w:rPr>
        <w:t>《关于加快发展体育产业促进体育消费的实施意见》，</w:t>
      </w:r>
      <w:r>
        <w:rPr>
          <w:rFonts w:hint="eastAsia" w:ascii="仿宋_GB2312" w:hAnsi="仿宋" w:eastAsia="仿宋_GB2312" w:cs="仿宋_GB2312"/>
          <w:kern w:val="0"/>
          <w:sz w:val="32"/>
          <w:szCs w:val="32"/>
        </w:rPr>
        <w:t>培育壮大体育市场主体。全面落实国家有关扶持中小企业发展的政策措施，重点支持“专、精、特、新”的中小体育企业发展。以具有潜力的体育企业为重点，着力培育一批有实力、有竞争力的骨干体育企业，</w:t>
      </w:r>
      <w:r>
        <w:rPr>
          <w:rFonts w:hint="eastAsia" w:ascii="仿宋_GB2312" w:hAnsi="仿宋" w:eastAsia="仿宋_GB2312" w:cs="仿宋_GB2312"/>
          <w:sz w:val="32"/>
          <w:szCs w:val="32"/>
        </w:rPr>
        <w:t>做好引导、服务和协调工作，积极申报天津市体育产业有关项目，</w:t>
      </w:r>
      <w:r>
        <w:rPr>
          <w:rFonts w:hint="eastAsia" w:ascii="仿宋_GB2312" w:hAnsi="仿宋" w:eastAsia="仿宋_GB2312" w:cs="仿宋_GB2312"/>
          <w:kern w:val="0"/>
          <w:sz w:val="32"/>
          <w:szCs w:val="32"/>
        </w:rPr>
        <w:t>增强我区体育产业的整体实力。支持开拓布局我区体育产业各个领域，加快形成一批有品牌效应的项目。</w:t>
      </w:r>
      <w:r>
        <w:rPr>
          <w:rFonts w:hint="eastAsia" w:ascii="仿宋_GB2312" w:hAnsi="宋体" w:eastAsia="仿宋_GB2312" w:cs="仿宋_GB2312"/>
          <w:color w:val="222222"/>
          <w:kern w:val="0"/>
          <w:sz w:val="32"/>
          <w:szCs w:val="32"/>
        </w:rPr>
        <w:t>扶持有潜质的体育培训企业做强做大，培育更多、种类各异的企业，使正规培训企业形成客户量、价格、专业优势，规范体育培训市场。探索与专业院校、科研机构的合作机制，为产业升级提供专业力量保障。</w:t>
      </w:r>
      <w:r>
        <w:rPr>
          <w:rFonts w:hint="eastAsia" w:ascii="仿宋_GB2312" w:hAnsi="仿宋" w:eastAsia="仿宋_GB2312" w:cs="仿宋_GB2312"/>
          <w:kern w:val="0"/>
          <w:sz w:val="32"/>
          <w:szCs w:val="32"/>
        </w:rPr>
        <w:t>促进体育与健康、养老、教育、文化、旅游、传媒、互联网等行业融合发展，推动体育与住宅、休闲、商业综合开发，积极拓展新业态、培育新需求。配合推动金融、地产、建筑、交通、制造、信息、食品药品等企业开发体育领域产品和服务。进行体育场地常态化统计调查，准确、及时、全面地反映我市体育场地发展状况，为完善公共体育服务体系提供基础数据。</w:t>
      </w:r>
    </w:p>
    <w:p>
      <w:pPr>
        <w:spacing w:line="560" w:lineRule="exact"/>
        <w:ind w:firstLine="642" w:firstLineChars="200"/>
        <w:rPr>
          <w:rFonts w:ascii="楷体_GB2312" w:hAnsi="仿宋" w:eastAsia="楷体_GB2312" w:cs="楷体_GB2312"/>
          <w:b/>
          <w:bCs/>
          <w:sz w:val="32"/>
          <w:szCs w:val="32"/>
        </w:rPr>
      </w:pPr>
      <w:r>
        <w:rPr>
          <w:rFonts w:hint="eastAsia" w:ascii="楷体_GB2312" w:hAnsi="仿宋" w:eastAsia="楷体_GB2312" w:cs="楷体_GB2312"/>
          <w:b/>
          <w:bCs/>
          <w:sz w:val="32"/>
          <w:szCs w:val="32"/>
        </w:rPr>
        <w:t>（四）持续推进体育法治建设</w:t>
      </w:r>
    </w:p>
    <w:p>
      <w:pPr>
        <w:widowControl/>
        <w:spacing w:line="560" w:lineRule="exact"/>
        <w:ind w:firstLine="640" w:firstLineChars="200"/>
        <w:jc w:val="left"/>
        <w:rPr>
          <w:sz w:val="32"/>
          <w:szCs w:val="32"/>
        </w:rPr>
      </w:pPr>
      <w:r>
        <w:rPr>
          <w:rFonts w:hint="eastAsia" w:ascii="仿宋_GB2312" w:hAnsi="仿宋" w:eastAsia="仿宋_GB2312" w:cs="仿宋_GB2312"/>
          <w:kern w:val="0"/>
          <w:sz w:val="32"/>
          <w:szCs w:val="32"/>
        </w:rPr>
        <w:t>贯彻落实体育领域“放管服”改革，深入推进依法行政、加快法治体育建设。落实责任主体，完善监督制度，做到有权必有责、用权受监督、违法受追究。深化行政审批制度改革，全面梳理、规范和完善体育行政审批事项目录清单，进一步做好行政审批事项的“接、管、放”，规范、简化审批流程，完善告知承诺制度，切实加强事中事后监管。全面落实行政执法责任制，进一步明确执法标准、执法责任、行为规范。强化政府在基本公共体育服务、体育市场监管等方面的职责，依法维护公民、法人和其他组织的合法权益。 增强公众参与实效，保障公民对体育事业的知情权、参与权、表达权和监督权。建立健全制定相关的规章制度。健全体育法规体系和执法监督机制，建立与体育事业发展水平相适应的体育执法机制，满足体育市场需求。继续深化体育普法宣传，强化法制文化建设，开展形式多样的宣传活动，及时报道开展活动情况，利用公共体育健身场所等公共场所作为宣传点，扩大活动覆盖面，增强影响力。</w:t>
      </w:r>
    </w:p>
    <w:p>
      <w:pPr>
        <w:widowControl/>
        <w:spacing w:line="560" w:lineRule="exact"/>
        <w:ind w:firstLine="642" w:firstLineChars="200"/>
        <w:jc w:val="left"/>
        <w:rPr>
          <w:rFonts w:ascii="楷体_GB2312" w:hAnsi="仿宋" w:eastAsia="楷体_GB2312" w:cs="仿宋_GB2312"/>
          <w:b/>
          <w:bCs/>
          <w:kern w:val="0"/>
          <w:sz w:val="32"/>
          <w:szCs w:val="32"/>
        </w:rPr>
      </w:pPr>
      <w:r>
        <w:rPr>
          <w:rFonts w:hint="eastAsia" w:ascii="楷体_GB2312" w:hAnsi="仿宋" w:eastAsia="楷体_GB2312" w:cs="仿宋_GB2312"/>
          <w:b/>
          <w:bCs/>
          <w:kern w:val="0"/>
          <w:sz w:val="32"/>
          <w:szCs w:val="32"/>
        </w:rPr>
        <w:t>（五）加强体育文化宣传工作</w:t>
      </w:r>
    </w:p>
    <w:p>
      <w:pPr>
        <w:widowControl/>
        <w:spacing w:line="560" w:lineRule="exact"/>
        <w:ind w:firstLine="640" w:firstLineChars="200"/>
        <w:jc w:val="left"/>
        <w:rPr>
          <w:sz w:val="32"/>
          <w:szCs w:val="32"/>
        </w:rPr>
      </w:pPr>
      <w:r>
        <w:rPr>
          <w:rFonts w:hint="eastAsia" w:ascii="仿宋_GB2312" w:hAnsi="仿宋" w:eastAsia="仿宋_GB2312" w:cs="仿宋_GB2312"/>
          <w:kern w:val="0"/>
          <w:sz w:val="32"/>
          <w:szCs w:val="32"/>
        </w:rPr>
        <w:t>创新宣传方式，建立体育宣传工作机制，加强与各类媒体的沟通与合作，有效发挥电视、报刊、网络等传媒的积极作用，深入挖掘体育的文化内涵，大力弘扬中华体育精神，普及体育科学知识，倡导健康、科学、文明的生活方式。注重弘扬运动项目文化，转变运动项目发展和办赛思路，归纳运动项目文化特点，挖掘运动项目文化内涵，提炼运动项目独特的精神实质。开展针对青少年的运动项目文化教育和推广工作，扩大运动项目文化在青少年中的影响力。开展中华民族传统体育项目如回族重刀的保护工作，积极争取各个层面的政策支持。创新体育文化表达方式，打造健身大拜年等体育文化产品，丰富体育文化表达方式，满足人民日益增长的体育文化需求，传播体育正能量，营造良好的体育文化氛围。</w:t>
      </w:r>
    </w:p>
    <w:p>
      <w:pPr>
        <w:widowControl/>
        <w:spacing w:line="560" w:lineRule="exact"/>
        <w:ind w:firstLine="640" w:firstLineChars="200"/>
        <w:jc w:val="left"/>
        <w:rPr>
          <w:rFonts w:ascii="黑体" w:hAnsi="黑体" w:eastAsia="黑体"/>
          <w:kern w:val="0"/>
          <w:sz w:val="32"/>
          <w:szCs w:val="32"/>
        </w:rPr>
      </w:pPr>
      <w:r>
        <w:rPr>
          <w:rFonts w:hint="eastAsia" w:ascii="黑体" w:hAnsi="黑体" w:eastAsia="黑体" w:cs="黑体"/>
          <w:kern w:val="0"/>
          <w:sz w:val="32"/>
          <w:szCs w:val="32"/>
        </w:rPr>
        <w:t>五、“十四五”红桥体育发展规划的实施保障</w:t>
      </w:r>
    </w:p>
    <w:p>
      <w:pPr>
        <w:spacing w:line="560" w:lineRule="exact"/>
        <w:ind w:firstLine="642" w:firstLineChars="200"/>
        <w:rPr>
          <w:rFonts w:ascii="楷体_GB2312" w:hAnsi="仿宋" w:eastAsia="楷体_GB2312"/>
          <w:b/>
          <w:bCs/>
          <w:sz w:val="32"/>
          <w:szCs w:val="32"/>
        </w:rPr>
      </w:pPr>
      <w:r>
        <w:rPr>
          <w:rFonts w:hint="eastAsia" w:ascii="楷体_GB2312" w:hAnsi="仿宋" w:eastAsia="楷体_GB2312" w:cs="楷体_GB2312"/>
          <w:b/>
          <w:bCs/>
          <w:sz w:val="32"/>
          <w:szCs w:val="32"/>
        </w:rPr>
        <w:t>（一）切实加强体育设施建设</w:t>
      </w:r>
    </w:p>
    <w:p>
      <w:pPr>
        <w:widowControl/>
        <w:spacing w:line="560" w:lineRule="exact"/>
        <w:ind w:firstLine="640" w:firstLineChars="200"/>
        <w:jc w:val="left"/>
        <w:rPr>
          <w:rFonts w:ascii="仿宋_GB2312" w:hAnsi="仿宋" w:eastAsia="仿宋_GB2312"/>
          <w:kern w:val="0"/>
          <w:sz w:val="32"/>
          <w:szCs w:val="32"/>
        </w:rPr>
      </w:pPr>
      <w:r>
        <w:rPr>
          <w:rFonts w:hint="eastAsia" w:ascii="仿宋_GB2312" w:hAnsi="仿宋" w:eastAsia="仿宋_GB2312" w:cs="仿宋_GB2312"/>
          <w:kern w:val="0"/>
          <w:sz w:val="32"/>
          <w:szCs w:val="32"/>
        </w:rPr>
        <w:t>高度重视，切实把体育发展作为一项重要工作来抓，将体育发展规划纳入全区国民经济和社会发展规划，将公共体育设施建设纳入城市规划。编制和调整城市建设规划、土地功能规划、园林绿化规划等规划的同时，充分考虑相关体育项目、设施的空间布局和建设用地。各相关部门加强沟通、联动协作，研究制定促进体育设施建设的各项政策措施。建立体育工作评估体系，完善考核机制和问责制度，加强督促检查。</w:t>
      </w:r>
    </w:p>
    <w:p>
      <w:pPr>
        <w:spacing w:line="560" w:lineRule="exact"/>
        <w:ind w:firstLine="642" w:firstLineChars="200"/>
        <w:rPr>
          <w:rFonts w:ascii="楷体_GB2312" w:hAnsi="仿宋" w:eastAsia="楷体_GB2312"/>
          <w:b/>
          <w:bCs/>
          <w:sz w:val="32"/>
          <w:szCs w:val="32"/>
        </w:rPr>
      </w:pPr>
      <w:r>
        <w:rPr>
          <w:rFonts w:hint="eastAsia" w:ascii="楷体_GB2312" w:hAnsi="仿宋" w:eastAsia="楷体_GB2312" w:cs="楷体_GB2312"/>
          <w:b/>
          <w:bCs/>
          <w:sz w:val="32"/>
          <w:szCs w:val="32"/>
        </w:rPr>
        <w:t>（二）健全完善体育政策</w:t>
      </w:r>
    </w:p>
    <w:p>
      <w:pPr>
        <w:widowControl/>
        <w:spacing w:line="560" w:lineRule="exact"/>
        <w:ind w:firstLine="640" w:firstLineChars="200"/>
        <w:jc w:val="left"/>
        <w:rPr>
          <w:rFonts w:ascii="仿宋_GB2312" w:hAnsi="仿宋" w:eastAsia="仿宋_GB2312"/>
          <w:kern w:val="0"/>
          <w:sz w:val="32"/>
          <w:szCs w:val="32"/>
        </w:rPr>
      </w:pPr>
      <w:r>
        <w:rPr>
          <w:rFonts w:hint="eastAsia" w:ascii="仿宋_GB2312" w:hAnsi="仿宋" w:eastAsia="仿宋_GB2312" w:cs="仿宋_GB2312"/>
          <w:kern w:val="0"/>
          <w:sz w:val="32"/>
          <w:szCs w:val="32"/>
        </w:rPr>
        <w:t>贯彻落实</w:t>
      </w:r>
      <w:r>
        <w:rPr>
          <w:rFonts w:hint="eastAsia" w:ascii="仿宋_GB2312" w:eastAsia="仿宋_GB2312" w:cs="仿宋_GB2312"/>
          <w:sz w:val="32"/>
          <w:szCs w:val="32"/>
        </w:rPr>
        <w:t>《体育强国建设纲要》</w:t>
      </w:r>
      <w:r>
        <w:rPr>
          <w:rFonts w:hint="eastAsia" w:ascii="仿宋_GB2312" w:hAnsi="仿宋" w:eastAsia="仿宋_GB2312" w:cs="仿宋_GB2312"/>
          <w:kern w:val="0"/>
          <w:sz w:val="32"/>
          <w:szCs w:val="32"/>
        </w:rPr>
        <w:t>等文件精神，结合本区体育事业发展实际，重点加强本区体育产业发展现状和市民体育消费需求的调查分析，进一步完善体育消费、规划布局以及体育人才培养与就业等相关政策。进一步加快政府职能的转变，依法加快职能转变，贯彻落实“一制三化”要求，清理不利于体育事业发展的有关规定，取消不合理的行政审批事项。鼓励更多的社会力量参与到体育产业的开发和投入，加大对体育赛事无形资产开发和体育社会组织、企业发展的支持力度。</w:t>
      </w:r>
    </w:p>
    <w:p>
      <w:pPr>
        <w:spacing w:line="560" w:lineRule="exact"/>
        <w:ind w:firstLine="642" w:firstLineChars="200"/>
        <w:rPr>
          <w:rFonts w:ascii="楷体_GB2312" w:hAnsi="仿宋" w:eastAsia="楷体_GB2312"/>
          <w:b/>
          <w:bCs/>
          <w:sz w:val="32"/>
          <w:szCs w:val="32"/>
        </w:rPr>
      </w:pPr>
      <w:r>
        <w:rPr>
          <w:rFonts w:hint="eastAsia" w:ascii="楷体_GB2312" w:hAnsi="仿宋" w:eastAsia="楷体_GB2312" w:cs="楷体_GB2312"/>
          <w:b/>
          <w:bCs/>
          <w:sz w:val="32"/>
          <w:szCs w:val="32"/>
        </w:rPr>
        <w:t>（三）加强人才队伍建设</w:t>
      </w:r>
    </w:p>
    <w:p>
      <w:pPr>
        <w:widowControl/>
        <w:spacing w:line="560" w:lineRule="exact"/>
        <w:ind w:firstLine="640" w:firstLineChars="200"/>
        <w:jc w:val="left"/>
        <w:rPr>
          <w:rFonts w:ascii="仿宋_GB2312" w:hAnsi="仿宋" w:eastAsia="仿宋_GB2312"/>
          <w:kern w:val="0"/>
          <w:sz w:val="32"/>
          <w:szCs w:val="32"/>
        </w:rPr>
      </w:pPr>
      <w:r>
        <w:rPr>
          <w:rFonts w:hint="eastAsia" w:ascii="仿宋_GB2312" w:hAnsi="仿宋" w:eastAsia="仿宋_GB2312" w:cs="仿宋_GB2312"/>
          <w:kern w:val="0"/>
          <w:sz w:val="32"/>
          <w:szCs w:val="32"/>
        </w:rPr>
        <w:t>继续实施“人才强体”战略。加强教练员队伍组织建设，进一步完善教练员培养、培训体系，抓好中青年教练员、不同项目教练员的分级分类培训，提高运动队的管理水平和训练水平。进一步完善教练员聘任、管理办法和各项考核制度，强化教练员岗位荣誉感、责任感和岗位竞争意识、责任意识，努力打造一支业务精、作风硬、素质高的教练员队伍。</w:t>
      </w:r>
    </w:p>
    <w:p>
      <w:pPr>
        <w:spacing w:line="560" w:lineRule="exact"/>
        <w:ind w:firstLine="642" w:firstLineChars="200"/>
        <w:rPr>
          <w:rFonts w:ascii="楷体_GB2312" w:hAnsi="仿宋" w:eastAsia="楷体_GB2312"/>
          <w:b/>
          <w:bCs/>
          <w:sz w:val="32"/>
          <w:szCs w:val="32"/>
        </w:rPr>
      </w:pPr>
      <w:r>
        <w:rPr>
          <w:rFonts w:hint="eastAsia" w:ascii="楷体_GB2312" w:hAnsi="仿宋" w:eastAsia="楷体_GB2312" w:cs="楷体_GB2312"/>
          <w:b/>
          <w:bCs/>
          <w:sz w:val="32"/>
          <w:szCs w:val="32"/>
        </w:rPr>
        <w:t>（四）加大资金保障力度</w:t>
      </w:r>
    </w:p>
    <w:p>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cs="仿宋_GB2312"/>
          <w:kern w:val="0"/>
          <w:sz w:val="32"/>
          <w:szCs w:val="32"/>
        </w:rPr>
        <w:t>将全民健身经费纳入区级财政预算，并保持与国民经济增长相适应。对公共体育设施建设加大投入。通过政府购买服务等多种方式，积极支持群众健身消费，鼓励公共体育设施免费或低收费开放。鼓励引导企事业单位、学校、个人购买运动伤害类保险。进一步研究鼓励群众健身消费的优惠政策，探索多渠道的体育经费投入体系。</w:t>
      </w:r>
    </w:p>
    <w:sectPr>
      <w:footerReference r:id="rId3" w:type="default"/>
      <w:footerReference r:id="rId4"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小标宋">
    <w:altName w:val="方正小标宋_GBK"/>
    <w:panose1 w:val="00000000000000000000"/>
    <w:charset w:val="00"/>
    <w:family w:val="script"/>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1160" w:wrap="auto" w:vAnchor="text" w:hAnchor="page" w:x="9285" w:y="-360"/>
      <w:jc w:val="right"/>
      <w:rPr>
        <w:rStyle w:val="13"/>
        <w:sz w:val="28"/>
        <w:szCs w:val="28"/>
      </w:rPr>
    </w:pPr>
    <w:r>
      <w:rPr>
        <w:rStyle w:val="13"/>
        <w:sz w:val="28"/>
        <w:szCs w:val="28"/>
      </w:rPr>
      <w:t>—</w:t>
    </w:r>
    <w:r>
      <w:rPr>
        <w:rStyle w:val="13"/>
        <w:sz w:val="28"/>
        <w:szCs w:val="28"/>
      </w:rPr>
      <w:fldChar w:fldCharType="begin"/>
    </w:r>
    <w:r>
      <w:rPr>
        <w:rStyle w:val="13"/>
        <w:sz w:val="28"/>
        <w:szCs w:val="28"/>
      </w:rPr>
      <w:instrText xml:space="preserve">PAGE  </w:instrText>
    </w:r>
    <w:r>
      <w:rPr>
        <w:rStyle w:val="13"/>
        <w:sz w:val="28"/>
        <w:szCs w:val="28"/>
      </w:rPr>
      <w:fldChar w:fldCharType="separate"/>
    </w:r>
    <w:r>
      <w:rPr>
        <w:rStyle w:val="13"/>
        <w:sz w:val="28"/>
        <w:szCs w:val="28"/>
      </w:rPr>
      <w:t>7</w:t>
    </w:r>
    <w:r>
      <w:rPr>
        <w:rStyle w:val="13"/>
        <w:sz w:val="28"/>
        <w:szCs w:val="28"/>
      </w:rPr>
      <w:fldChar w:fldCharType="end"/>
    </w:r>
    <w:r>
      <w:rPr>
        <w:rStyle w:val="13"/>
        <w:sz w:val="28"/>
        <w:szCs w:val="28"/>
      </w:rPr>
      <w:t>—</w:t>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903" w:wrap="auto" w:vAnchor="text" w:hAnchor="page" w:x="1628" w:y="-395"/>
      <w:rPr>
        <w:rStyle w:val="13"/>
        <w:sz w:val="28"/>
        <w:szCs w:val="28"/>
      </w:rPr>
    </w:pPr>
    <w:r>
      <w:rPr>
        <w:rStyle w:val="13"/>
        <w:sz w:val="28"/>
        <w:szCs w:val="28"/>
      </w:rPr>
      <w:t>—</w:t>
    </w:r>
    <w:r>
      <w:rPr>
        <w:rStyle w:val="13"/>
        <w:sz w:val="28"/>
        <w:szCs w:val="28"/>
      </w:rPr>
      <w:fldChar w:fldCharType="begin"/>
    </w:r>
    <w:r>
      <w:rPr>
        <w:rStyle w:val="13"/>
        <w:sz w:val="28"/>
        <w:szCs w:val="28"/>
      </w:rPr>
      <w:instrText xml:space="preserve">PAGE  </w:instrText>
    </w:r>
    <w:r>
      <w:rPr>
        <w:rStyle w:val="13"/>
        <w:sz w:val="28"/>
        <w:szCs w:val="28"/>
      </w:rPr>
      <w:fldChar w:fldCharType="separate"/>
    </w:r>
    <w:r>
      <w:rPr>
        <w:rStyle w:val="13"/>
        <w:sz w:val="28"/>
        <w:szCs w:val="28"/>
      </w:rPr>
      <w:t>8</w:t>
    </w:r>
    <w:r>
      <w:rPr>
        <w:rStyle w:val="13"/>
        <w:sz w:val="28"/>
        <w:szCs w:val="28"/>
      </w:rPr>
      <w:fldChar w:fldCharType="end"/>
    </w:r>
    <w:r>
      <w:rPr>
        <w:rStyle w:val="13"/>
        <w:sz w:val="28"/>
        <w:szCs w:val="28"/>
      </w:rPr>
      <w:t>—</w:t>
    </w:r>
  </w:p>
  <w:p>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oNotHyphenateCaps/>
  <w:evenAndOddHeaders w:val="true"/>
  <w:drawingGridVerticalSpacing w:val="156"/>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C9B"/>
    <w:rsid w:val="00000D90"/>
    <w:rsid w:val="000029B4"/>
    <w:rsid w:val="000131FD"/>
    <w:rsid w:val="00023307"/>
    <w:rsid w:val="00024BD2"/>
    <w:rsid w:val="00032EA2"/>
    <w:rsid w:val="00045CF2"/>
    <w:rsid w:val="000558BC"/>
    <w:rsid w:val="00056619"/>
    <w:rsid w:val="000640D7"/>
    <w:rsid w:val="00090223"/>
    <w:rsid w:val="000A0C28"/>
    <w:rsid w:val="000A2282"/>
    <w:rsid w:val="000A68DC"/>
    <w:rsid w:val="000B486E"/>
    <w:rsid w:val="000B5A2D"/>
    <w:rsid w:val="000C0D6E"/>
    <w:rsid w:val="000C2C9B"/>
    <w:rsid w:val="000C36A1"/>
    <w:rsid w:val="000C634C"/>
    <w:rsid w:val="000D2DD0"/>
    <w:rsid w:val="000E1256"/>
    <w:rsid w:val="000F0EE5"/>
    <w:rsid w:val="000F3D74"/>
    <w:rsid w:val="00100C72"/>
    <w:rsid w:val="00110C10"/>
    <w:rsid w:val="00112AB9"/>
    <w:rsid w:val="0011566E"/>
    <w:rsid w:val="00123C20"/>
    <w:rsid w:val="001247F2"/>
    <w:rsid w:val="0013209F"/>
    <w:rsid w:val="0013491E"/>
    <w:rsid w:val="00135930"/>
    <w:rsid w:val="0013603D"/>
    <w:rsid w:val="001363A5"/>
    <w:rsid w:val="00160F30"/>
    <w:rsid w:val="00175A4E"/>
    <w:rsid w:val="00183732"/>
    <w:rsid w:val="00183DC3"/>
    <w:rsid w:val="00183FEC"/>
    <w:rsid w:val="00185073"/>
    <w:rsid w:val="00185BDB"/>
    <w:rsid w:val="001862A9"/>
    <w:rsid w:val="001A2270"/>
    <w:rsid w:val="001A25B0"/>
    <w:rsid w:val="001B59C5"/>
    <w:rsid w:val="001C36DE"/>
    <w:rsid w:val="001D1197"/>
    <w:rsid w:val="001E3C31"/>
    <w:rsid w:val="001E5740"/>
    <w:rsid w:val="001F0C52"/>
    <w:rsid w:val="002106CB"/>
    <w:rsid w:val="00211637"/>
    <w:rsid w:val="00214527"/>
    <w:rsid w:val="00214C3A"/>
    <w:rsid w:val="002221D6"/>
    <w:rsid w:val="0023498F"/>
    <w:rsid w:val="00251FAD"/>
    <w:rsid w:val="00253562"/>
    <w:rsid w:val="00263587"/>
    <w:rsid w:val="00277C9A"/>
    <w:rsid w:val="0028045E"/>
    <w:rsid w:val="00287FA8"/>
    <w:rsid w:val="002A1193"/>
    <w:rsid w:val="002A177C"/>
    <w:rsid w:val="002F2C6D"/>
    <w:rsid w:val="00302293"/>
    <w:rsid w:val="003047D5"/>
    <w:rsid w:val="0031378C"/>
    <w:rsid w:val="0031595C"/>
    <w:rsid w:val="003171AF"/>
    <w:rsid w:val="0031781E"/>
    <w:rsid w:val="00327AAB"/>
    <w:rsid w:val="00337486"/>
    <w:rsid w:val="0034036B"/>
    <w:rsid w:val="003576B4"/>
    <w:rsid w:val="00360BDB"/>
    <w:rsid w:val="00364C8C"/>
    <w:rsid w:val="0036606B"/>
    <w:rsid w:val="0038235E"/>
    <w:rsid w:val="00383A4C"/>
    <w:rsid w:val="003C04F9"/>
    <w:rsid w:val="003C5BB5"/>
    <w:rsid w:val="003C66D5"/>
    <w:rsid w:val="003D080B"/>
    <w:rsid w:val="003D1708"/>
    <w:rsid w:val="003D2980"/>
    <w:rsid w:val="003D39C2"/>
    <w:rsid w:val="003F6B42"/>
    <w:rsid w:val="003F7A89"/>
    <w:rsid w:val="00404DA7"/>
    <w:rsid w:val="004139A6"/>
    <w:rsid w:val="0042081C"/>
    <w:rsid w:val="00421964"/>
    <w:rsid w:val="00445C2D"/>
    <w:rsid w:val="00453022"/>
    <w:rsid w:val="004536E4"/>
    <w:rsid w:val="00454B13"/>
    <w:rsid w:val="00457E2A"/>
    <w:rsid w:val="004714B7"/>
    <w:rsid w:val="00481E37"/>
    <w:rsid w:val="004858C1"/>
    <w:rsid w:val="004858FD"/>
    <w:rsid w:val="00495712"/>
    <w:rsid w:val="004A61A9"/>
    <w:rsid w:val="004B7F86"/>
    <w:rsid w:val="004C7F7D"/>
    <w:rsid w:val="004D407E"/>
    <w:rsid w:val="004E14B6"/>
    <w:rsid w:val="004E46E2"/>
    <w:rsid w:val="004E7EFD"/>
    <w:rsid w:val="004F1DE4"/>
    <w:rsid w:val="004F1F67"/>
    <w:rsid w:val="00503C2C"/>
    <w:rsid w:val="00512C3E"/>
    <w:rsid w:val="00514CB1"/>
    <w:rsid w:val="005167A4"/>
    <w:rsid w:val="0052214F"/>
    <w:rsid w:val="00523821"/>
    <w:rsid w:val="00523983"/>
    <w:rsid w:val="0053045C"/>
    <w:rsid w:val="005306B4"/>
    <w:rsid w:val="005359A1"/>
    <w:rsid w:val="00540780"/>
    <w:rsid w:val="00542573"/>
    <w:rsid w:val="00577C5D"/>
    <w:rsid w:val="0058714C"/>
    <w:rsid w:val="00590315"/>
    <w:rsid w:val="005B7A88"/>
    <w:rsid w:val="005C4C1C"/>
    <w:rsid w:val="005D79E0"/>
    <w:rsid w:val="006019A9"/>
    <w:rsid w:val="00610EDE"/>
    <w:rsid w:val="006178FE"/>
    <w:rsid w:val="0063082E"/>
    <w:rsid w:val="00630A90"/>
    <w:rsid w:val="00645849"/>
    <w:rsid w:val="00646DA2"/>
    <w:rsid w:val="00663BA3"/>
    <w:rsid w:val="00685486"/>
    <w:rsid w:val="00686A25"/>
    <w:rsid w:val="00693B79"/>
    <w:rsid w:val="00697F0B"/>
    <w:rsid w:val="006A2A6A"/>
    <w:rsid w:val="006A527D"/>
    <w:rsid w:val="006A5C96"/>
    <w:rsid w:val="006A7080"/>
    <w:rsid w:val="006B2C0B"/>
    <w:rsid w:val="006E53D9"/>
    <w:rsid w:val="006F4A19"/>
    <w:rsid w:val="007034F4"/>
    <w:rsid w:val="00711314"/>
    <w:rsid w:val="00712504"/>
    <w:rsid w:val="00715B6B"/>
    <w:rsid w:val="00717CBA"/>
    <w:rsid w:val="007214BD"/>
    <w:rsid w:val="00727AF4"/>
    <w:rsid w:val="00742B02"/>
    <w:rsid w:val="00753AF5"/>
    <w:rsid w:val="00755D17"/>
    <w:rsid w:val="007569BB"/>
    <w:rsid w:val="007611E2"/>
    <w:rsid w:val="007828C4"/>
    <w:rsid w:val="007B6891"/>
    <w:rsid w:val="007E372C"/>
    <w:rsid w:val="007F54EF"/>
    <w:rsid w:val="00810CE6"/>
    <w:rsid w:val="00811A18"/>
    <w:rsid w:val="00817906"/>
    <w:rsid w:val="008559C4"/>
    <w:rsid w:val="00857DA1"/>
    <w:rsid w:val="008630E9"/>
    <w:rsid w:val="00877D1E"/>
    <w:rsid w:val="0088320B"/>
    <w:rsid w:val="00893A7B"/>
    <w:rsid w:val="008A6CC1"/>
    <w:rsid w:val="008B254D"/>
    <w:rsid w:val="008C3947"/>
    <w:rsid w:val="008C762E"/>
    <w:rsid w:val="008D4897"/>
    <w:rsid w:val="008D4FE1"/>
    <w:rsid w:val="008E3893"/>
    <w:rsid w:val="008E7FE0"/>
    <w:rsid w:val="008F532D"/>
    <w:rsid w:val="008F6BD4"/>
    <w:rsid w:val="0090001E"/>
    <w:rsid w:val="00901040"/>
    <w:rsid w:val="00910892"/>
    <w:rsid w:val="00912502"/>
    <w:rsid w:val="00913770"/>
    <w:rsid w:val="00916A8E"/>
    <w:rsid w:val="00926F04"/>
    <w:rsid w:val="009578AF"/>
    <w:rsid w:val="00964408"/>
    <w:rsid w:val="00967BBB"/>
    <w:rsid w:val="00971D0E"/>
    <w:rsid w:val="00977927"/>
    <w:rsid w:val="009964F5"/>
    <w:rsid w:val="009B1602"/>
    <w:rsid w:val="009B7517"/>
    <w:rsid w:val="009D1420"/>
    <w:rsid w:val="009D77FE"/>
    <w:rsid w:val="009E14FC"/>
    <w:rsid w:val="009E381E"/>
    <w:rsid w:val="009F6A6C"/>
    <w:rsid w:val="00A1366E"/>
    <w:rsid w:val="00A1522F"/>
    <w:rsid w:val="00A1533C"/>
    <w:rsid w:val="00A16032"/>
    <w:rsid w:val="00A21008"/>
    <w:rsid w:val="00A21626"/>
    <w:rsid w:val="00A3567E"/>
    <w:rsid w:val="00A41E2F"/>
    <w:rsid w:val="00A42C74"/>
    <w:rsid w:val="00A42E60"/>
    <w:rsid w:val="00A43025"/>
    <w:rsid w:val="00A53C9C"/>
    <w:rsid w:val="00A608CE"/>
    <w:rsid w:val="00A67C92"/>
    <w:rsid w:val="00A71928"/>
    <w:rsid w:val="00A7260B"/>
    <w:rsid w:val="00A76DFD"/>
    <w:rsid w:val="00A81242"/>
    <w:rsid w:val="00A83C43"/>
    <w:rsid w:val="00A83F2D"/>
    <w:rsid w:val="00AB2881"/>
    <w:rsid w:val="00AC63E2"/>
    <w:rsid w:val="00AD4B04"/>
    <w:rsid w:val="00AD4BB3"/>
    <w:rsid w:val="00AE3A68"/>
    <w:rsid w:val="00AE4C2A"/>
    <w:rsid w:val="00AF71E7"/>
    <w:rsid w:val="00B015BE"/>
    <w:rsid w:val="00B02814"/>
    <w:rsid w:val="00B028E7"/>
    <w:rsid w:val="00B059F4"/>
    <w:rsid w:val="00B11193"/>
    <w:rsid w:val="00B163F0"/>
    <w:rsid w:val="00B24013"/>
    <w:rsid w:val="00B279F9"/>
    <w:rsid w:val="00B473FC"/>
    <w:rsid w:val="00B532B1"/>
    <w:rsid w:val="00B563D5"/>
    <w:rsid w:val="00B63F8B"/>
    <w:rsid w:val="00B6551E"/>
    <w:rsid w:val="00B77E1E"/>
    <w:rsid w:val="00B877AF"/>
    <w:rsid w:val="00BA72C0"/>
    <w:rsid w:val="00BB6679"/>
    <w:rsid w:val="00BC553D"/>
    <w:rsid w:val="00C0391B"/>
    <w:rsid w:val="00C0693E"/>
    <w:rsid w:val="00C13E7B"/>
    <w:rsid w:val="00C15EF5"/>
    <w:rsid w:val="00C2587F"/>
    <w:rsid w:val="00C31217"/>
    <w:rsid w:val="00C34E43"/>
    <w:rsid w:val="00C35A29"/>
    <w:rsid w:val="00C427F0"/>
    <w:rsid w:val="00C42F5B"/>
    <w:rsid w:val="00C52289"/>
    <w:rsid w:val="00C55DDC"/>
    <w:rsid w:val="00C57860"/>
    <w:rsid w:val="00C621AD"/>
    <w:rsid w:val="00C62B03"/>
    <w:rsid w:val="00C62DBF"/>
    <w:rsid w:val="00C71586"/>
    <w:rsid w:val="00CA4F56"/>
    <w:rsid w:val="00CA7CFE"/>
    <w:rsid w:val="00CB1E39"/>
    <w:rsid w:val="00CC0DA6"/>
    <w:rsid w:val="00CC140B"/>
    <w:rsid w:val="00CE00F0"/>
    <w:rsid w:val="00CF4421"/>
    <w:rsid w:val="00CF7E9C"/>
    <w:rsid w:val="00D00E11"/>
    <w:rsid w:val="00D04141"/>
    <w:rsid w:val="00D05F75"/>
    <w:rsid w:val="00D24109"/>
    <w:rsid w:val="00D24721"/>
    <w:rsid w:val="00D51CEE"/>
    <w:rsid w:val="00D521F8"/>
    <w:rsid w:val="00D75F08"/>
    <w:rsid w:val="00D81B05"/>
    <w:rsid w:val="00D840F6"/>
    <w:rsid w:val="00D87485"/>
    <w:rsid w:val="00D909DF"/>
    <w:rsid w:val="00DA582E"/>
    <w:rsid w:val="00DA5FD8"/>
    <w:rsid w:val="00DC5D50"/>
    <w:rsid w:val="00DD06A9"/>
    <w:rsid w:val="00DD5B81"/>
    <w:rsid w:val="00DD5D3F"/>
    <w:rsid w:val="00DE5723"/>
    <w:rsid w:val="00DE7E29"/>
    <w:rsid w:val="00E04449"/>
    <w:rsid w:val="00E1746C"/>
    <w:rsid w:val="00E26A83"/>
    <w:rsid w:val="00E31C55"/>
    <w:rsid w:val="00E33F84"/>
    <w:rsid w:val="00E50672"/>
    <w:rsid w:val="00E7251D"/>
    <w:rsid w:val="00E80167"/>
    <w:rsid w:val="00EA3814"/>
    <w:rsid w:val="00EB4652"/>
    <w:rsid w:val="00EC01F1"/>
    <w:rsid w:val="00EC4931"/>
    <w:rsid w:val="00ED6CF8"/>
    <w:rsid w:val="00EE49F3"/>
    <w:rsid w:val="00EF0E4A"/>
    <w:rsid w:val="00EF5F9F"/>
    <w:rsid w:val="00EF6A53"/>
    <w:rsid w:val="00F025CF"/>
    <w:rsid w:val="00F233D3"/>
    <w:rsid w:val="00F25C4B"/>
    <w:rsid w:val="00F8275B"/>
    <w:rsid w:val="00F8621A"/>
    <w:rsid w:val="00F956DC"/>
    <w:rsid w:val="00FA4228"/>
    <w:rsid w:val="00FA5D1D"/>
    <w:rsid w:val="00FB28A6"/>
    <w:rsid w:val="00FC7DDC"/>
    <w:rsid w:val="00FD0667"/>
    <w:rsid w:val="00FD6C28"/>
    <w:rsid w:val="00FE552E"/>
    <w:rsid w:val="00FE57BB"/>
    <w:rsid w:val="00FF35C3"/>
    <w:rsid w:val="00FF5281"/>
    <w:rsid w:val="00FF7929"/>
    <w:rsid w:val="3A020858"/>
    <w:rsid w:val="4F4704A8"/>
    <w:rsid w:val="4FFFCC06"/>
    <w:rsid w:val="56FE982C"/>
    <w:rsid w:val="5BC42695"/>
    <w:rsid w:val="65E534B8"/>
    <w:rsid w:val="6FFA20FD"/>
    <w:rsid w:val="B7F7188E"/>
    <w:rsid w:val="FFDF3A2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4"/>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line="0" w:lineRule="atLeast"/>
    </w:pPr>
    <w:rPr>
      <w:rFonts w:ascii="宋体" w:hAnsi="宋体" w:eastAsia="小标宋"/>
      <w:kern w:val="0"/>
      <w:sz w:val="44"/>
      <w:szCs w:val="32"/>
    </w:rPr>
  </w:style>
  <w:style w:type="paragraph" w:styleId="5">
    <w:name w:val="Balloon Text"/>
    <w:basedOn w:val="1"/>
    <w:link w:val="16"/>
    <w:semiHidden/>
    <w:qFormat/>
    <w:uiPriority w:val="99"/>
    <w:rPr>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9">
    <w:name w:val="Title"/>
    <w:basedOn w:val="1"/>
    <w:next w:val="1"/>
    <w:link w:val="19"/>
    <w:qFormat/>
    <w:uiPriority w:val="0"/>
    <w:pPr>
      <w:spacing w:before="240" w:after="60"/>
      <w:jc w:val="center"/>
      <w:outlineLvl w:val="0"/>
    </w:pPr>
    <w:rPr>
      <w:rFonts w:ascii="Cambria" w:hAnsi="Cambria" w:cs="Cambria"/>
      <w:b/>
      <w:bCs/>
      <w:sz w:val="32"/>
      <w:szCs w:val="32"/>
    </w:rPr>
  </w:style>
  <w:style w:type="character" w:styleId="12">
    <w:name w:val="Strong"/>
    <w:basedOn w:val="11"/>
    <w:qFormat/>
    <w:locked/>
    <w:uiPriority w:val="0"/>
    <w:rPr>
      <w:b/>
    </w:rPr>
  </w:style>
  <w:style w:type="character" w:styleId="13">
    <w:name w:val="page number"/>
    <w:basedOn w:val="11"/>
    <w:qFormat/>
    <w:uiPriority w:val="99"/>
  </w:style>
  <w:style w:type="character" w:customStyle="1" w:styleId="14">
    <w:name w:val="标题 1 Char"/>
    <w:basedOn w:val="11"/>
    <w:link w:val="2"/>
    <w:qFormat/>
    <w:locked/>
    <w:uiPriority w:val="99"/>
    <w:rPr>
      <w:b/>
      <w:bCs/>
      <w:kern w:val="44"/>
      <w:sz w:val="44"/>
      <w:szCs w:val="44"/>
    </w:rPr>
  </w:style>
  <w:style w:type="character" w:customStyle="1" w:styleId="15">
    <w:name w:val="标题 2 Char"/>
    <w:basedOn w:val="11"/>
    <w:link w:val="3"/>
    <w:semiHidden/>
    <w:qFormat/>
    <w:locked/>
    <w:uiPriority w:val="99"/>
    <w:rPr>
      <w:rFonts w:ascii="Cambria" w:hAnsi="Cambria" w:eastAsia="宋体" w:cs="Cambria"/>
      <w:b/>
      <w:bCs/>
      <w:kern w:val="2"/>
      <w:sz w:val="32"/>
      <w:szCs w:val="32"/>
    </w:rPr>
  </w:style>
  <w:style w:type="character" w:customStyle="1" w:styleId="16">
    <w:name w:val="批注框文本 Char"/>
    <w:basedOn w:val="11"/>
    <w:link w:val="5"/>
    <w:semiHidden/>
    <w:qFormat/>
    <w:uiPriority w:val="99"/>
    <w:rPr>
      <w:sz w:val="0"/>
      <w:szCs w:val="0"/>
    </w:rPr>
  </w:style>
  <w:style w:type="character" w:customStyle="1" w:styleId="17">
    <w:name w:val="页脚 Char"/>
    <w:basedOn w:val="11"/>
    <w:link w:val="6"/>
    <w:semiHidden/>
    <w:qFormat/>
    <w:uiPriority w:val="99"/>
    <w:rPr>
      <w:sz w:val="18"/>
      <w:szCs w:val="18"/>
    </w:rPr>
  </w:style>
  <w:style w:type="character" w:customStyle="1" w:styleId="18">
    <w:name w:val="页眉 Char"/>
    <w:basedOn w:val="11"/>
    <w:link w:val="7"/>
    <w:qFormat/>
    <w:locked/>
    <w:uiPriority w:val="99"/>
    <w:rPr>
      <w:kern w:val="2"/>
      <w:sz w:val="18"/>
      <w:szCs w:val="18"/>
    </w:rPr>
  </w:style>
  <w:style w:type="character" w:customStyle="1" w:styleId="19">
    <w:name w:val="标题 Char"/>
    <w:basedOn w:val="11"/>
    <w:link w:val="9"/>
    <w:qFormat/>
    <w:locked/>
    <w:uiPriority w:val="0"/>
    <w:rPr>
      <w:rFonts w:ascii="Cambria" w:hAnsi="Cambria" w:cs="Cambria"/>
      <w:b/>
      <w:bCs/>
      <w:kern w:val="2"/>
      <w:sz w:val="32"/>
      <w:szCs w:val="32"/>
    </w:rPr>
  </w:style>
  <w:style w:type="paragraph" w:styleId="2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1306</Words>
  <Characters>7449</Characters>
  <Lines>62</Lines>
  <Paragraphs>17</Paragraphs>
  <TotalTime>16</TotalTime>
  <ScaleCrop>false</ScaleCrop>
  <LinksUpToDate>false</LinksUpToDate>
  <CharactersWithSpaces>8738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2021-10-15T18:41:00Z</dcterms:created>
  <dc:creator>Administrator</dc:creator>
  <cp:lastModifiedBy>greatwall</cp:lastModifiedBy>
  <cp:lastPrinted>2021-03-19T23:26:00Z</cp:lastPrinted>
  <dcterms:modified xsi:type="dcterms:W3CDTF">2023-11-08T12:19:04Z</dcterms:modified>
  <dc:title>红桥区体育事业发展“十三五”规划</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D670CB336F0A4D37AB3B80CC5C09C0AE</vt:lpwstr>
  </property>
</Properties>
</file>